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7EEB4" w14:textId="4A1B1C0F" w:rsidR="007178FB" w:rsidRDefault="007178FB" w:rsidP="007178FB">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 xml:space="preserve">3GPP TSG RAN WG1 Meeting </w:t>
      </w:r>
      <w:r w:rsidR="009C13E1">
        <w:rPr>
          <w:rFonts w:ascii="Arial" w:hAnsi="Arial" w:cs="Arial"/>
          <w:b/>
          <w:bCs/>
          <w:sz w:val="28"/>
        </w:rPr>
        <w:t>#</w:t>
      </w:r>
      <w:r>
        <w:rPr>
          <w:rFonts w:ascii="Arial" w:hAnsi="Arial" w:cs="Arial"/>
          <w:b/>
          <w:bCs/>
          <w:sz w:val="28"/>
        </w:rPr>
        <w:t>9</w:t>
      </w:r>
      <w:r w:rsidR="00104C67">
        <w:rPr>
          <w:rFonts w:ascii="Arial" w:hAnsi="Arial" w:cs="Arial"/>
          <w:b/>
          <w:bCs/>
          <w:sz w:val="28"/>
        </w:rPr>
        <w:t>1</w:t>
      </w:r>
      <w:r>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837452">
        <w:rPr>
          <w:rFonts w:ascii="Arial" w:hAnsi="Arial" w:cs="Arial"/>
          <w:b/>
          <w:bCs/>
          <w:sz w:val="28"/>
        </w:rPr>
        <w:t>R1-</w:t>
      </w:r>
      <w:r w:rsidR="00837452" w:rsidRPr="00837452">
        <w:t xml:space="preserve"> </w:t>
      </w:r>
      <w:r w:rsidR="00837452" w:rsidRPr="00837452">
        <w:rPr>
          <w:rFonts w:ascii="Arial" w:hAnsi="Arial" w:cs="Arial"/>
          <w:b/>
          <w:bCs/>
          <w:sz w:val="28"/>
        </w:rPr>
        <w:t>17</w:t>
      </w:r>
      <w:r w:rsidR="00646A83">
        <w:rPr>
          <w:rFonts w:ascii="Arial" w:hAnsi="Arial" w:cs="Arial"/>
          <w:b/>
          <w:bCs/>
          <w:sz w:val="28"/>
        </w:rPr>
        <w:t>20707</w:t>
      </w:r>
    </w:p>
    <w:p w14:paraId="6040DBA6" w14:textId="77777777" w:rsidR="009C13E1" w:rsidRPr="009513AC" w:rsidRDefault="009C13E1" w:rsidP="009C13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bookmarkStart w:id="2" w:name="_GoBack"/>
      <w:bookmarkEnd w:id="2"/>
    </w:p>
    <w:p w14:paraId="0DCC4F68" w14:textId="31826497"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763D64">
        <w:rPr>
          <w:rFonts w:ascii="Arial" w:hAnsi="Arial"/>
          <w:sz w:val="24"/>
        </w:rPr>
        <w:t>6</w:t>
      </w:r>
      <w:r w:rsidR="004A3B94">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2D65B7"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3B94">
        <w:rPr>
          <w:rFonts w:ascii="Arial" w:hAnsi="Arial"/>
          <w:sz w:val="22"/>
        </w:rPr>
        <w:t>Power Control for NR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69263605" w:rsidR="007222DD" w:rsidRDefault="00ED36F1" w:rsidP="001E3C52">
      <w:pPr>
        <w:jc w:val="both"/>
      </w:pPr>
      <w:r>
        <w:t>In RAN1 88</w:t>
      </w:r>
      <w:r w:rsidR="001E3C52">
        <w:t>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rsidR="001E3C52">
        <w:t xml:space="preserve">, </w:t>
      </w:r>
      <w:r w:rsidR="007222DD">
        <w:t xml:space="preserve">the following has been agreed for </w:t>
      </w:r>
      <w:r>
        <w:t>PUCCH multiplexing</w:t>
      </w:r>
      <w:r w:rsidR="00833760">
        <w:t>:</w:t>
      </w:r>
    </w:p>
    <w:p w14:paraId="622C18D5" w14:textId="0CD24758" w:rsidR="007222DD" w:rsidRPr="007222DD" w:rsidRDefault="007222DD" w:rsidP="001E3C52">
      <w:pPr>
        <w:jc w:val="both"/>
        <w:rPr>
          <w:i/>
          <w:u w:val="single"/>
        </w:rPr>
      </w:pPr>
      <w:r w:rsidRPr="007222DD">
        <w:rPr>
          <w:i/>
          <w:u w:val="single"/>
        </w:rPr>
        <w:t xml:space="preserve">Agreements: </w:t>
      </w:r>
    </w:p>
    <w:p w14:paraId="2005AA45" w14:textId="77777777" w:rsidR="00ED36F1" w:rsidRPr="00156EAE" w:rsidRDefault="00ED36F1" w:rsidP="00A35AD2">
      <w:pPr>
        <w:numPr>
          <w:ilvl w:val="0"/>
          <w:numId w:val="6"/>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1461EA24" w14:textId="77777777" w:rsidR="00ED36F1" w:rsidRPr="00156EAE" w:rsidRDefault="00ED36F1" w:rsidP="00A35AD2">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0B602F16" w14:textId="77777777" w:rsidR="00ED36F1" w:rsidRPr="00156EAE" w:rsidRDefault="00ED36F1" w:rsidP="00A35AD2">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03FB27D4" w14:textId="67DEDD05" w:rsidR="00ED36F1" w:rsidRDefault="00ED36F1" w:rsidP="00A35AD2">
      <w:pPr>
        <w:numPr>
          <w:ilvl w:val="1"/>
          <w:numId w:val="6"/>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6BD205F2" w14:textId="77777777" w:rsidR="00ED36F1" w:rsidRPr="00156EAE" w:rsidRDefault="00ED36F1" w:rsidP="00ED36F1">
      <w:pPr>
        <w:overflowPunct/>
        <w:autoSpaceDE/>
        <w:autoSpaceDN/>
        <w:adjustRightInd/>
        <w:spacing w:after="0"/>
        <w:ind w:left="1440"/>
        <w:textAlignment w:val="auto"/>
        <w:rPr>
          <w:rFonts w:eastAsia="MS Mincho"/>
          <w:iCs/>
          <w:lang w:eastAsia="ja-JP"/>
        </w:rPr>
      </w:pPr>
    </w:p>
    <w:p w14:paraId="20E04E40" w14:textId="03580B9D" w:rsidR="007222DD" w:rsidRDefault="0044335B" w:rsidP="004749AE">
      <w:pPr>
        <w:jc w:val="both"/>
      </w:pPr>
      <w:r>
        <w:t>Also in RAN1</w:t>
      </w:r>
      <w:r w:rsidR="00833760">
        <w:t xml:space="preserve"> 88bis, the following agreements were made f</w:t>
      </w:r>
      <w:r w:rsidR="00ED36F1" w:rsidRPr="00ED36F1">
        <w:t xml:space="preserve">or PUSCH </w:t>
      </w:r>
    </w:p>
    <w:p w14:paraId="40CC8ED2" w14:textId="774FBEBF" w:rsidR="00833760" w:rsidRPr="00833760" w:rsidRDefault="00833760" w:rsidP="004749AE">
      <w:pPr>
        <w:jc w:val="both"/>
        <w:rPr>
          <w:i/>
          <w:u w:val="single"/>
        </w:rPr>
      </w:pPr>
      <w:r w:rsidRPr="00833760">
        <w:rPr>
          <w:i/>
          <w:u w:val="single"/>
        </w:rPr>
        <w:t>Agreements:</w:t>
      </w:r>
    </w:p>
    <w:p w14:paraId="31F222F0" w14:textId="77777777" w:rsidR="00833760" w:rsidRPr="00BC742B" w:rsidRDefault="00833760" w:rsidP="00A35AD2">
      <w:pPr>
        <w:numPr>
          <w:ilvl w:val="0"/>
          <w:numId w:val="7"/>
        </w:numPr>
        <w:overflowPunct/>
        <w:autoSpaceDE/>
        <w:autoSpaceDN/>
        <w:adjustRightInd/>
        <w:spacing w:after="0"/>
        <w:textAlignment w:val="auto"/>
        <w:rPr>
          <w:rFonts w:eastAsia="MS Mincho"/>
          <w:lang w:eastAsia="ja-JP"/>
        </w:rPr>
      </w:pPr>
      <w:r w:rsidRPr="00BC742B">
        <w:rPr>
          <w:rFonts w:eastAsia="MS Mincho" w:hint="eastAsia"/>
          <w:lang w:eastAsia="ja-JP"/>
        </w:rPr>
        <w:t>Data channel (PDSCH, PUSCH) duration and starting position</w:t>
      </w:r>
    </w:p>
    <w:p w14:paraId="31330F74" w14:textId="77777777" w:rsidR="00833760" w:rsidRPr="00BC742B" w:rsidRDefault="00833760" w:rsidP="00A35AD2">
      <w:pPr>
        <w:numPr>
          <w:ilvl w:val="1"/>
          <w:numId w:val="7"/>
        </w:numPr>
        <w:overflowPunct/>
        <w:autoSpaceDE/>
        <w:autoSpaceDN/>
        <w:adjustRightInd/>
        <w:spacing w:after="0"/>
        <w:textAlignment w:val="auto"/>
        <w:rPr>
          <w:rFonts w:eastAsia="MS Mincho"/>
          <w:lang w:eastAsia="ja-JP"/>
        </w:rPr>
      </w:pPr>
      <w:r w:rsidRPr="00BC742B">
        <w:rPr>
          <w:rFonts w:eastAsia="MS Mincho" w:hint="eastAsia"/>
          <w:lang w:eastAsia="ja-JP"/>
        </w:rPr>
        <w:t>Specification supports data channel having minimum duration of 1 OFDM symbol of the data and starting at any OFDM symbol to below-6GHz, in addition to above-6GHz</w:t>
      </w:r>
    </w:p>
    <w:p w14:paraId="0EE4ACCF" w14:textId="77777777" w:rsidR="00833760" w:rsidRPr="00BC742B" w:rsidRDefault="00833760" w:rsidP="00A35AD2">
      <w:pPr>
        <w:numPr>
          <w:ilvl w:val="2"/>
          <w:numId w:val="7"/>
        </w:numPr>
        <w:overflowPunct/>
        <w:autoSpaceDE/>
        <w:autoSpaceDN/>
        <w:adjustRightInd/>
        <w:spacing w:after="0"/>
        <w:textAlignment w:val="auto"/>
        <w:rPr>
          <w:rFonts w:eastAsia="MS Mincho"/>
          <w:lang w:eastAsia="ja-JP"/>
        </w:rPr>
      </w:pPr>
      <w:r w:rsidRPr="00BC742B">
        <w:rPr>
          <w:rFonts w:eastAsia="MS Mincho" w:hint="eastAsia"/>
          <w:lang w:eastAsia="ja-JP"/>
        </w:rPr>
        <w:t>Note: This may not be applied to all type of UEs and/or use-cases</w:t>
      </w:r>
    </w:p>
    <w:p w14:paraId="75C6489A" w14:textId="77777777" w:rsidR="00833760" w:rsidRPr="00BC742B" w:rsidRDefault="00833760" w:rsidP="00A35AD2">
      <w:pPr>
        <w:numPr>
          <w:ilvl w:val="2"/>
          <w:numId w:val="7"/>
        </w:numPr>
        <w:overflowPunct/>
        <w:autoSpaceDE/>
        <w:autoSpaceDN/>
        <w:adjustRightInd/>
        <w:spacing w:after="0"/>
        <w:textAlignment w:val="auto"/>
        <w:rPr>
          <w:rFonts w:eastAsia="MS Mincho"/>
          <w:lang w:eastAsia="ja-JP"/>
        </w:rPr>
      </w:pPr>
      <w:r w:rsidRPr="00BC742B">
        <w:rPr>
          <w:rFonts w:eastAsia="MS Mincho" w:hint="eastAsia"/>
          <w:lang w:eastAsia="ja-JP"/>
        </w:rPr>
        <w:t>UE is not expected to blindly detect the presence of DMRS or PT-RS</w:t>
      </w:r>
    </w:p>
    <w:p w14:paraId="52DC401E" w14:textId="77777777" w:rsidR="00833760" w:rsidRPr="00BC742B" w:rsidRDefault="00833760" w:rsidP="00A35AD2">
      <w:pPr>
        <w:numPr>
          <w:ilvl w:val="2"/>
          <w:numId w:val="7"/>
        </w:numPr>
        <w:overflowPunct/>
        <w:autoSpaceDE/>
        <w:autoSpaceDN/>
        <w:adjustRightInd/>
        <w:spacing w:after="0"/>
        <w:textAlignment w:val="auto"/>
        <w:rPr>
          <w:rFonts w:eastAsia="MS Mincho"/>
          <w:lang w:eastAsia="ja-JP"/>
        </w:rPr>
      </w:pPr>
      <w:r w:rsidRPr="00BC742B">
        <w:rPr>
          <w:rFonts w:eastAsia="MS Mincho" w:hint="eastAsia"/>
          <w:lang w:eastAsia="ja-JP"/>
        </w:rPr>
        <w:t>FFS: Whether a 1 symbol data puncturing can be indicated by preemption indication</w:t>
      </w:r>
    </w:p>
    <w:p w14:paraId="6694A89F" w14:textId="77777777" w:rsidR="00833760" w:rsidRPr="00BC742B" w:rsidRDefault="00833760" w:rsidP="00A35AD2">
      <w:pPr>
        <w:numPr>
          <w:ilvl w:val="1"/>
          <w:numId w:val="7"/>
        </w:numPr>
        <w:overflowPunct/>
        <w:autoSpaceDE/>
        <w:autoSpaceDN/>
        <w:adjustRightInd/>
        <w:spacing w:after="0"/>
        <w:textAlignment w:val="auto"/>
        <w:rPr>
          <w:rFonts w:eastAsia="MS Mincho"/>
          <w:lang w:eastAsia="ja-JP"/>
        </w:rPr>
      </w:pPr>
      <w:r w:rsidRPr="00BC742B">
        <w:rPr>
          <w:rFonts w:eastAsia="MS Mincho" w:hint="eastAsia"/>
          <w:lang w:eastAsia="ja-JP"/>
        </w:rPr>
        <w:t>FFS: combinations of data duration and granularities of data position</w:t>
      </w:r>
    </w:p>
    <w:p w14:paraId="7015C0EA" w14:textId="77777777" w:rsidR="00833760" w:rsidRPr="00BC742B" w:rsidRDefault="00833760" w:rsidP="00A35AD2">
      <w:pPr>
        <w:numPr>
          <w:ilvl w:val="1"/>
          <w:numId w:val="7"/>
        </w:numPr>
        <w:overflowPunct/>
        <w:autoSpaceDE/>
        <w:autoSpaceDN/>
        <w:adjustRightInd/>
        <w:spacing w:after="0"/>
        <w:textAlignment w:val="auto"/>
        <w:rPr>
          <w:rFonts w:eastAsia="MS Mincho"/>
          <w:lang w:eastAsia="ja-JP"/>
        </w:rPr>
      </w:pPr>
      <w:r w:rsidRPr="00BC742B">
        <w:rPr>
          <w:rFonts w:eastAsia="MS Mincho" w:hint="eastAsia"/>
          <w:lang w:eastAsia="ja-JP"/>
        </w:rPr>
        <w:t>Specification supports data having frequency-selective assignment with any data duration</w:t>
      </w:r>
    </w:p>
    <w:p w14:paraId="7DDFFFDC" w14:textId="77777777" w:rsidR="00833760" w:rsidRPr="00ED36F1" w:rsidRDefault="00833760" w:rsidP="004749AE">
      <w:pPr>
        <w:jc w:val="both"/>
      </w:pPr>
    </w:p>
    <w:p w14:paraId="30FAA9CB" w14:textId="65E2B38A" w:rsidR="007D7698" w:rsidRDefault="00833760" w:rsidP="000A3CBA">
      <w:pPr>
        <w:jc w:val="both"/>
      </w:pPr>
      <w:r>
        <w:t xml:space="preserve">The above shows that NR supports non-slot based transmissions and </w:t>
      </w:r>
      <w:r w:rsidR="00AF0617">
        <w:t xml:space="preserve">allows TDM of multiple PUCCH and PUSCH in one slot. This makes power control for NR CA significantly more challenging than for LTE CA. In this document, we discuss power control for NR CA. </w:t>
      </w:r>
    </w:p>
    <w:p w14:paraId="0DBA759E" w14:textId="733A2DE7" w:rsidR="0089193F" w:rsidRPr="00833760" w:rsidRDefault="004822B9" w:rsidP="00833760">
      <w:pPr>
        <w:pStyle w:val="Heading1"/>
      </w:pPr>
      <w:bookmarkStart w:id="3" w:name="_Ref473802466"/>
      <w:bookmarkStart w:id="4" w:name="_Ref462669569"/>
      <w:r>
        <w:t>Transmitter</w:t>
      </w:r>
      <w:r w:rsidR="00AF0617">
        <w:t xml:space="preserve"> architecture and limitations</w:t>
      </w:r>
    </w:p>
    <w:p w14:paraId="1ECF3F84" w14:textId="63580B63" w:rsidR="00AF0617" w:rsidRDefault="00AF0617" w:rsidP="0089193F">
      <w:pPr>
        <w:pStyle w:val="Default"/>
        <w:rPr>
          <w:sz w:val="20"/>
          <w:szCs w:val="20"/>
          <w:lang w:val="en-GB"/>
        </w:rPr>
      </w:pPr>
      <w:r>
        <w:rPr>
          <w:sz w:val="20"/>
          <w:szCs w:val="20"/>
          <w:lang w:val="en-GB"/>
        </w:rPr>
        <w:t>For NR CA, there could be different UE transmitter architecture</w:t>
      </w:r>
      <w:r w:rsidR="004822B9">
        <w:rPr>
          <w:sz w:val="20"/>
          <w:szCs w:val="20"/>
          <w:lang w:val="en-GB"/>
        </w:rPr>
        <w:t xml:space="preserve">s </w:t>
      </w:r>
      <w:r>
        <w:rPr>
          <w:sz w:val="20"/>
          <w:szCs w:val="20"/>
          <w:lang w:val="en-GB"/>
        </w:rPr>
        <w:t>depending on the CA configuration:</w:t>
      </w:r>
    </w:p>
    <w:p w14:paraId="041F1916" w14:textId="77777777" w:rsidR="00AF0617" w:rsidRPr="00AF0617" w:rsidRDefault="00AF0617" w:rsidP="00A35AD2">
      <w:pPr>
        <w:pStyle w:val="Default"/>
        <w:numPr>
          <w:ilvl w:val="0"/>
          <w:numId w:val="8"/>
        </w:numPr>
        <w:ind w:left="720"/>
        <w:rPr>
          <w:sz w:val="20"/>
          <w:szCs w:val="20"/>
          <w:lang w:val="en-GB"/>
        </w:rPr>
      </w:pPr>
      <w:r w:rsidRPr="00AF0617">
        <w:rPr>
          <w:sz w:val="20"/>
          <w:szCs w:val="20"/>
          <w:lang w:val="en-GB"/>
        </w:rPr>
        <w:t>A1: Single FFT/IFFT and shared RF chain(s)</w:t>
      </w:r>
    </w:p>
    <w:p w14:paraId="0D422949" w14:textId="2768D850" w:rsidR="00AF0617" w:rsidRPr="004822B9" w:rsidRDefault="00AF0617" w:rsidP="00A35AD2">
      <w:pPr>
        <w:pStyle w:val="Default"/>
        <w:numPr>
          <w:ilvl w:val="0"/>
          <w:numId w:val="12"/>
        </w:numPr>
        <w:rPr>
          <w:sz w:val="20"/>
          <w:szCs w:val="20"/>
          <w:lang w:val="en-GB"/>
        </w:rPr>
      </w:pPr>
      <w:r>
        <w:rPr>
          <w:sz w:val="20"/>
          <w:szCs w:val="20"/>
          <w:lang w:val="en-GB"/>
        </w:rPr>
        <w:t>Typically applicable for i</w:t>
      </w:r>
      <w:r w:rsidRPr="00AF0617">
        <w:rPr>
          <w:sz w:val="20"/>
          <w:szCs w:val="20"/>
          <w:lang w:val="en-GB"/>
        </w:rPr>
        <w:t>ntra-band contiguous CA with a single TAG</w:t>
      </w:r>
    </w:p>
    <w:p w14:paraId="3E368241" w14:textId="5556BC17" w:rsidR="00AF0617" w:rsidRPr="00AF0617" w:rsidRDefault="00AF0617" w:rsidP="00A35AD2">
      <w:pPr>
        <w:pStyle w:val="Default"/>
        <w:numPr>
          <w:ilvl w:val="0"/>
          <w:numId w:val="8"/>
        </w:numPr>
        <w:ind w:left="720"/>
        <w:rPr>
          <w:sz w:val="20"/>
          <w:szCs w:val="20"/>
          <w:lang w:val="en-GB"/>
        </w:rPr>
      </w:pPr>
      <w:r w:rsidRPr="00AF0617">
        <w:rPr>
          <w:sz w:val="20"/>
          <w:szCs w:val="20"/>
          <w:lang w:val="en-GB"/>
        </w:rPr>
        <w:t>A2</w:t>
      </w:r>
      <w:r w:rsidR="0044335B">
        <w:rPr>
          <w:sz w:val="20"/>
          <w:szCs w:val="20"/>
          <w:lang w:val="en-GB"/>
        </w:rPr>
        <w:t>: Separate FFT/IFFT engines and</w:t>
      </w:r>
      <w:r w:rsidRPr="00AF0617">
        <w:rPr>
          <w:sz w:val="20"/>
          <w:szCs w:val="20"/>
          <w:lang w:val="en-GB"/>
        </w:rPr>
        <w:t xml:space="preserve"> RF chains</w:t>
      </w:r>
    </w:p>
    <w:p w14:paraId="43583DD2" w14:textId="581BFB83" w:rsidR="00AF0617" w:rsidRDefault="00AF0617" w:rsidP="00A35AD2">
      <w:pPr>
        <w:pStyle w:val="Default"/>
        <w:numPr>
          <w:ilvl w:val="0"/>
          <w:numId w:val="9"/>
        </w:numPr>
        <w:rPr>
          <w:sz w:val="20"/>
          <w:szCs w:val="20"/>
          <w:lang w:val="en-GB"/>
        </w:rPr>
      </w:pPr>
      <w:r>
        <w:rPr>
          <w:sz w:val="20"/>
          <w:szCs w:val="20"/>
          <w:lang w:val="en-GB"/>
        </w:rPr>
        <w:t>Typically applicable for i</w:t>
      </w:r>
      <w:r w:rsidRPr="00AF0617">
        <w:rPr>
          <w:sz w:val="20"/>
          <w:szCs w:val="20"/>
          <w:lang w:val="en-GB"/>
        </w:rPr>
        <w:t xml:space="preserve">ntra-band noncontiguous CA, inter-band CA, </w:t>
      </w:r>
      <w:r>
        <w:rPr>
          <w:sz w:val="20"/>
          <w:szCs w:val="20"/>
          <w:lang w:val="en-GB"/>
        </w:rPr>
        <w:t>or CA with</w:t>
      </w:r>
      <w:r w:rsidRPr="00AF0617">
        <w:rPr>
          <w:sz w:val="20"/>
          <w:szCs w:val="20"/>
          <w:lang w:val="en-GB"/>
        </w:rPr>
        <w:t xml:space="preserve"> multiple TAGs</w:t>
      </w:r>
    </w:p>
    <w:p w14:paraId="448CC088" w14:textId="401737DC" w:rsidR="00AF0617" w:rsidRDefault="00AF0617" w:rsidP="00A35AD2">
      <w:pPr>
        <w:pStyle w:val="Default"/>
        <w:numPr>
          <w:ilvl w:val="0"/>
          <w:numId w:val="8"/>
        </w:numPr>
        <w:ind w:left="720"/>
        <w:rPr>
          <w:sz w:val="20"/>
          <w:szCs w:val="20"/>
          <w:lang w:val="en-GB"/>
        </w:rPr>
      </w:pPr>
      <w:r>
        <w:rPr>
          <w:sz w:val="20"/>
          <w:szCs w:val="20"/>
          <w:lang w:val="en-GB"/>
        </w:rPr>
        <w:t xml:space="preserve">A3: </w:t>
      </w:r>
      <w:r w:rsidR="004822B9">
        <w:rPr>
          <w:sz w:val="20"/>
          <w:szCs w:val="20"/>
          <w:lang w:val="en-GB"/>
        </w:rPr>
        <w:t>Multiple FFT/IFFT engines with configurable connection to one or multiple RF chains</w:t>
      </w:r>
    </w:p>
    <w:p w14:paraId="57A21258" w14:textId="55279EEB" w:rsidR="004822B9" w:rsidRDefault="004822B9" w:rsidP="00A35AD2">
      <w:pPr>
        <w:pStyle w:val="Default"/>
        <w:numPr>
          <w:ilvl w:val="1"/>
          <w:numId w:val="13"/>
        </w:numPr>
        <w:ind w:left="1080"/>
        <w:rPr>
          <w:sz w:val="20"/>
          <w:szCs w:val="20"/>
          <w:lang w:val="en-GB"/>
        </w:rPr>
      </w:pPr>
      <w:r>
        <w:rPr>
          <w:sz w:val="20"/>
          <w:szCs w:val="20"/>
          <w:lang w:val="en-GB"/>
        </w:rPr>
        <w:t xml:space="preserve">Most flexible and can be used to support all </w:t>
      </w:r>
      <w:r w:rsidR="0044335B">
        <w:rPr>
          <w:sz w:val="20"/>
          <w:szCs w:val="20"/>
          <w:lang w:val="en-GB"/>
        </w:rPr>
        <w:t xml:space="preserve">above </w:t>
      </w:r>
      <w:r>
        <w:rPr>
          <w:sz w:val="20"/>
          <w:szCs w:val="20"/>
          <w:lang w:val="en-GB"/>
        </w:rPr>
        <w:t>scenarios.</w:t>
      </w:r>
    </w:p>
    <w:p w14:paraId="0DFBC331" w14:textId="02ABA985" w:rsidR="004822B9" w:rsidRPr="00AF0617" w:rsidRDefault="004822B9" w:rsidP="00AF0617">
      <w:pPr>
        <w:pStyle w:val="Default"/>
        <w:rPr>
          <w:sz w:val="20"/>
          <w:szCs w:val="20"/>
          <w:lang w:val="en-GB"/>
        </w:rPr>
      </w:pPr>
      <w:r>
        <w:rPr>
          <w:sz w:val="20"/>
          <w:szCs w:val="20"/>
          <w:lang w:val="en-GB"/>
        </w:rPr>
        <w:tab/>
      </w:r>
    </w:p>
    <w:p w14:paraId="38DC067E" w14:textId="15FB5E81" w:rsidR="004822B9" w:rsidRDefault="004822B9" w:rsidP="0089193F">
      <w:pPr>
        <w:pStyle w:val="Default"/>
        <w:rPr>
          <w:sz w:val="20"/>
          <w:szCs w:val="20"/>
          <w:lang w:val="en-GB"/>
        </w:rPr>
      </w:pPr>
      <w:r>
        <w:rPr>
          <w:sz w:val="20"/>
          <w:szCs w:val="20"/>
          <w:lang w:val="en-GB"/>
        </w:rPr>
        <w:t>Among the above options, A1 is the simplest and but has the most limitations. NR power control must consider the limitations due to transmitt</w:t>
      </w:r>
      <w:r w:rsidR="00AC16EB">
        <w:rPr>
          <w:sz w:val="20"/>
          <w:szCs w:val="20"/>
          <w:lang w:val="en-GB"/>
        </w:rPr>
        <w:t xml:space="preserve">er architecture and </w:t>
      </w:r>
      <w:r>
        <w:rPr>
          <w:sz w:val="20"/>
          <w:szCs w:val="20"/>
          <w:lang w:val="en-GB"/>
        </w:rPr>
        <w:t>support the flexibility provided by more advanced transmitter architecture</w:t>
      </w:r>
      <w:r w:rsidR="0096329F">
        <w:rPr>
          <w:sz w:val="20"/>
          <w:szCs w:val="20"/>
          <w:lang w:val="en-GB"/>
        </w:rPr>
        <w:t xml:space="preserve"> as well</w:t>
      </w:r>
      <w:r>
        <w:rPr>
          <w:sz w:val="20"/>
          <w:szCs w:val="20"/>
          <w:lang w:val="en-GB"/>
        </w:rPr>
        <w:t xml:space="preserve">. </w:t>
      </w:r>
      <w:r w:rsidR="004678C6">
        <w:rPr>
          <w:sz w:val="20"/>
          <w:szCs w:val="20"/>
          <w:lang w:val="en-GB"/>
        </w:rPr>
        <w:t xml:space="preserve"> Since NR supports non-slot based transmissions, t</w:t>
      </w:r>
      <w:r>
        <w:rPr>
          <w:sz w:val="20"/>
          <w:szCs w:val="20"/>
          <w:lang w:val="en-GB"/>
        </w:rPr>
        <w:t>wo limitations need to be considered:</w:t>
      </w:r>
    </w:p>
    <w:p w14:paraId="1D04A651" w14:textId="2738AAF2" w:rsidR="004822B9" w:rsidRDefault="004822B9" w:rsidP="00A35AD2">
      <w:pPr>
        <w:pStyle w:val="Default"/>
        <w:numPr>
          <w:ilvl w:val="0"/>
          <w:numId w:val="10"/>
        </w:numPr>
        <w:rPr>
          <w:sz w:val="20"/>
          <w:szCs w:val="20"/>
          <w:lang w:val="en-GB"/>
        </w:rPr>
      </w:pPr>
      <w:r>
        <w:rPr>
          <w:sz w:val="20"/>
          <w:szCs w:val="20"/>
          <w:lang w:val="en-GB"/>
        </w:rPr>
        <w:t xml:space="preserve">To ensure phase continuity, no </w:t>
      </w:r>
      <w:r w:rsidR="0044335B">
        <w:rPr>
          <w:sz w:val="20"/>
          <w:szCs w:val="20"/>
          <w:lang w:val="en-GB"/>
        </w:rPr>
        <w:t xml:space="preserve">transmit </w:t>
      </w:r>
      <w:r>
        <w:rPr>
          <w:sz w:val="20"/>
          <w:szCs w:val="20"/>
          <w:lang w:val="en-GB"/>
        </w:rPr>
        <w:t>power change is allowed in the middle of a transmission.</w:t>
      </w:r>
    </w:p>
    <w:p w14:paraId="50479A9F" w14:textId="77777777" w:rsidR="00AC16EB" w:rsidRDefault="00AC16EB" w:rsidP="00AB6ED4">
      <w:pPr>
        <w:pStyle w:val="Default"/>
        <w:ind w:left="720" w:hanging="360"/>
        <w:rPr>
          <w:sz w:val="20"/>
          <w:szCs w:val="20"/>
          <w:lang w:val="en-GB"/>
        </w:rPr>
      </w:pPr>
    </w:p>
    <w:p w14:paraId="2CCF1512" w14:textId="79DF6D38" w:rsidR="004822B9" w:rsidRDefault="00AC16EB" w:rsidP="00A35AD2">
      <w:pPr>
        <w:pStyle w:val="Default"/>
        <w:numPr>
          <w:ilvl w:val="0"/>
          <w:numId w:val="10"/>
        </w:numPr>
        <w:rPr>
          <w:sz w:val="20"/>
          <w:szCs w:val="20"/>
          <w:lang w:val="en-GB"/>
        </w:rPr>
      </w:pPr>
      <w:r>
        <w:rPr>
          <w:sz w:val="20"/>
          <w:szCs w:val="20"/>
          <w:lang w:val="en-GB"/>
        </w:rPr>
        <w:lastRenderedPageBreak/>
        <w:t>UE must have sufficient time to calculate power before the actual transmission starts.</w:t>
      </w:r>
      <w:r w:rsidR="004822B9">
        <w:rPr>
          <w:sz w:val="20"/>
          <w:szCs w:val="20"/>
          <w:lang w:val="en-GB"/>
        </w:rPr>
        <w:tab/>
        <w:t xml:space="preserve"> </w:t>
      </w:r>
    </w:p>
    <w:p w14:paraId="7C8589A2" w14:textId="77777777" w:rsidR="00F83695" w:rsidRDefault="00F83695" w:rsidP="00AB6ED4">
      <w:pPr>
        <w:pStyle w:val="Default"/>
        <w:ind w:left="720" w:hanging="360"/>
        <w:rPr>
          <w:sz w:val="20"/>
          <w:szCs w:val="20"/>
          <w:lang w:val="en-GB"/>
        </w:rPr>
      </w:pPr>
    </w:p>
    <w:p w14:paraId="3BFAF834" w14:textId="0C835F61" w:rsidR="00F83695" w:rsidRDefault="00F83695" w:rsidP="0089193F">
      <w:pPr>
        <w:pStyle w:val="Default"/>
        <w:rPr>
          <w:sz w:val="20"/>
          <w:szCs w:val="20"/>
          <w:lang w:val="en-GB"/>
        </w:rPr>
      </w:pPr>
      <w:r>
        <w:rPr>
          <w:sz w:val="20"/>
          <w:szCs w:val="20"/>
          <w:lang w:val="en-GB"/>
        </w:rPr>
        <w:t xml:space="preserve">For transmitter architecture A1, unless all simultaneous transmissions of multiple CCs start at the same time and have the same duration, change of PA setting is most likely required in the middle of a transmission and hence causing phase discontinuity. </w:t>
      </w:r>
      <w:r w:rsidR="00BE7E4B">
        <w:rPr>
          <w:sz w:val="20"/>
          <w:szCs w:val="20"/>
          <w:lang w:val="en-GB"/>
        </w:rPr>
        <w:t xml:space="preserve">Hence it is necessary to </w:t>
      </w:r>
      <w:r w:rsidR="00AB6ED4">
        <w:rPr>
          <w:sz w:val="20"/>
          <w:szCs w:val="20"/>
          <w:lang w:val="en-GB"/>
        </w:rPr>
        <w:t>signal to the network if the UE supports partially overlapped transmissions.</w:t>
      </w:r>
    </w:p>
    <w:p w14:paraId="30A040E1" w14:textId="1A6F4470" w:rsidR="00F83695" w:rsidRDefault="00F83695" w:rsidP="0089193F">
      <w:pPr>
        <w:pStyle w:val="Default"/>
        <w:rPr>
          <w:sz w:val="20"/>
          <w:szCs w:val="20"/>
          <w:lang w:val="en-GB"/>
        </w:rPr>
      </w:pPr>
    </w:p>
    <w:p w14:paraId="39A135A2" w14:textId="6D5238E6" w:rsidR="00AB6ED4" w:rsidRPr="00AB6ED4" w:rsidRDefault="00AB6ED4" w:rsidP="0089193F">
      <w:pPr>
        <w:pStyle w:val="Default"/>
        <w:rPr>
          <w:b/>
          <w:i/>
          <w:sz w:val="20"/>
          <w:szCs w:val="20"/>
          <w:lang w:val="en-GB"/>
        </w:rPr>
      </w:pPr>
      <w:bookmarkStart w:id="5" w:name="_Hlk498681772"/>
      <w:r w:rsidRPr="00AB6ED4">
        <w:rPr>
          <w:b/>
          <w:i/>
          <w:sz w:val="20"/>
          <w:szCs w:val="20"/>
          <w:u w:val="single"/>
          <w:lang w:val="en-GB"/>
        </w:rPr>
        <w:t>Proposal 1:</w:t>
      </w:r>
      <w:r w:rsidRPr="00AB6ED4">
        <w:rPr>
          <w:b/>
          <w:i/>
          <w:color w:val="auto"/>
          <w:sz w:val="20"/>
          <w:szCs w:val="20"/>
          <w:lang w:eastAsia="en-US"/>
        </w:rPr>
        <w:t xml:space="preserve"> </w:t>
      </w:r>
      <w:r w:rsidRPr="00AB6ED4">
        <w:rPr>
          <w:b/>
          <w:i/>
          <w:sz w:val="20"/>
          <w:szCs w:val="20"/>
          <w:lang w:val="en-GB"/>
        </w:rPr>
        <w:t>Support of overlapping transmissions within a TAG that don’t start at the same time or have different durations is a UE capability to be reported per band/band combination.</w:t>
      </w:r>
    </w:p>
    <w:p w14:paraId="065DC6B2" w14:textId="70BBBE03" w:rsidR="00AB6ED4" w:rsidRPr="00AB6ED4" w:rsidRDefault="00AB6ED4" w:rsidP="00A35AD2">
      <w:pPr>
        <w:pStyle w:val="Default"/>
        <w:numPr>
          <w:ilvl w:val="0"/>
          <w:numId w:val="11"/>
        </w:numPr>
        <w:rPr>
          <w:b/>
          <w:i/>
          <w:sz w:val="20"/>
          <w:szCs w:val="20"/>
          <w:lang w:val="en-GB"/>
        </w:rPr>
      </w:pPr>
      <w:r w:rsidRPr="00AB6ED4">
        <w:rPr>
          <w:b/>
          <w:i/>
          <w:sz w:val="20"/>
          <w:szCs w:val="20"/>
          <w:lang w:val="en-GB"/>
        </w:rPr>
        <w:t>In case of PUCCH/PUSCH frequency hopping, necessary power reduction, if there is any, is considered.</w:t>
      </w:r>
    </w:p>
    <w:bookmarkEnd w:id="5"/>
    <w:p w14:paraId="05830CD9" w14:textId="77777777" w:rsidR="00AB6ED4" w:rsidRDefault="00AB6ED4" w:rsidP="0089193F">
      <w:pPr>
        <w:pStyle w:val="Default"/>
        <w:rPr>
          <w:sz w:val="20"/>
          <w:szCs w:val="20"/>
          <w:lang w:val="en-GB"/>
        </w:rPr>
      </w:pPr>
    </w:p>
    <w:p w14:paraId="38C85656" w14:textId="18973FCD" w:rsidR="004219F9" w:rsidRDefault="004219F9" w:rsidP="0089193F">
      <w:pPr>
        <w:pStyle w:val="Default"/>
        <w:rPr>
          <w:sz w:val="20"/>
          <w:szCs w:val="20"/>
          <w:lang w:val="en-GB"/>
        </w:rPr>
      </w:pPr>
      <w:r>
        <w:rPr>
          <w:sz w:val="20"/>
          <w:szCs w:val="20"/>
          <w:lang w:val="en-GB"/>
        </w:rPr>
        <w:t xml:space="preserve">For a UE that reports </w:t>
      </w:r>
      <w:r w:rsidR="0096329F">
        <w:rPr>
          <w:sz w:val="20"/>
          <w:szCs w:val="20"/>
          <w:lang w:val="en-GB"/>
        </w:rPr>
        <w:t>“</w:t>
      </w:r>
      <w:r>
        <w:rPr>
          <w:sz w:val="20"/>
          <w:szCs w:val="20"/>
          <w:lang w:val="en-GB"/>
        </w:rPr>
        <w:t>no</w:t>
      </w:r>
      <w:r w:rsidR="0096329F">
        <w:rPr>
          <w:sz w:val="20"/>
          <w:szCs w:val="20"/>
          <w:lang w:val="en-GB"/>
        </w:rPr>
        <w:t>”</w:t>
      </w:r>
      <w:r>
        <w:rPr>
          <w:sz w:val="20"/>
          <w:szCs w:val="20"/>
          <w:lang w:val="en-GB"/>
        </w:rPr>
        <w:t xml:space="preserve"> </w:t>
      </w:r>
      <w:r w:rsidR="0096329F">
        <w:rPr>
          <w:sz w:val="20"/>
          <w:szCs w:val="20"/>
          <w:lang w:val="en-GB"/>
        </w:rPr>
        <w:t>to</w:t>
      </w:r>
      <w:r>
        <w:rPr>
          <w:sz w:val="20"/>
          <w:szCs w:val="20"/>
          <w:lang w:val="en-GB"/>
        </w:rPr>
        <w:t xml:space="preserve"> the above capability, </w:t>
      </w:r>
      <w:r w:rsidR="0096329F">
        <w:rPr>
          <w:sz w:val="20"/>
          <w:szCs w:val="20"/>
          <w:lang w:val="en-GB"/>
        </w:rPr>
        <w:t xml:space="preserve">examples that supported and not supported </w:t>
      </w:r>
      <w:r>
        <w:rPr>
          <w:sz w:val="20"/>
          <w:szCs w:val="20"/>
          <w:lang w:val="en-GB"/>
        </w:rPr>
        <w:t>are depicted in Figure 1.</w:t>
      </w:r>
    </w:p>
    <w:p w14:paraId="2DF181D6" w14:textId="505D1E3B" w:rsidR="004219F9" w:rsidRDefault="004219F9" w:rsidP="00E830C2">
      <w:pPr>
        <w:pStyle w:val="Default"/>
        <w:keepNext/>
        <w:jc w:val="center"/>
      </w:pPr>
      <w:r>
        <w:object w:dxaOrig="6305" w:dyaOrig="2170" w14:anchorId="7FCC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8.6pt" o:ole="">
            <v:imagedata r:id="rId12" o:title=""/>
          </v:shape>
          <o:OLEObject Type="Embed" ProgID="Visio.Drawing.11" ShapeID="_x0000_i1025" DrawAspect="Content" ObjectID="_1572447552" r:id="rId13"/>
        </w:object>
      </w:r>
    </w:p>
    <w:p w14:paraId="0497F698" w14:textId="24627538" w:rsidR="004219F9" w:rsidRDefault="004219F9" w:rsidP="00E830C2">
      <w:pPr>
        <w:pStyle w:val="Caption"/>
        <w:jc w:val="center"/>
        <w:rPr>
          <w:lang w:val="en-GB"/>
        </w:rPr>
      </w:pPr>
      <w:r>
        <w:t xml:space="preserve">Figure </w:t>
      </w:r>
      <w:fldSimple w:instr=" SEQ Figure \* ARABIC ">
        <w:r w:rsidR="000C5321">
          <w:rPr>
            <w:noProof/>
          </w:rPr>
          <w:t>1</w:t>
        </w:r>
      </w:fldSimple>
      <w:r>
        <w:t xml:space="preserve"> Overlapped transmissions supported/not supported by a UE with shared RF chain(s).</w:t>
      </w:r>
    </w:p>
    <w:p w14:paraId="4DB321C9" w14:textId="77777777" w:rsidR="00837797" w:rsidRDefault="00837797" w:rsidP="0089193F">
      <w:pPr>
        <w:pStyle w:val="Default"/>
        <w:rPr>
          <w:sz w:val="20"/>
          <w:szCs w:val="20"/>
          <w:lang w:val="en-GB"/>
        </w:rPr>
      </w:pPr>
    </w:p>
    <w:p w14:paraId="77A9B2BF" w14:textId="550E2799" w:rsidR="00837797" w:rsidRDefault="00837797" w:rsidP="00837797">
      <w:pPr>
        <w:pStyle w:val="Heading1"/>
      </w:pPr>
      <w:r>
        <w:t>Power control mechanisms</w:t>
      </w:r>
    </w:p>
    <w:p w14:paraId="1B11EAB5" w14:textId="1E85E465" w:rsidR="00837797" w:rsidRDefault="00837797" w:rsidP="00837797">
      <w:pPr>
        <w:rPr>
          <w:lang w:val="en-GB"/>
        </w:rPr>
      </w:pPr>
      <w:r>
        <w:rPr>
          <w:lang w:val="en-GB"/>
        </w:rPr>
        <w:t xml:space="preserve">NR supports non-slot based transmissions. As a result, there could be PUSCH, PUCCH, and SRS scheduled in one slot in a TDM fashion. In addition, without additional limitation, transmissions of different CCs can partially overlap as shown in the figure below. </w:t>
      </w:r>
    </w:p>
    <w:p w14:paraId="5D6EB034" w14:textId="77777777" w:rsidR="00E830C2" w:rsidRDefault="00E830C2" w:rsidP="00E830C2">
      <w:pPr>
        <w:keepNext/>
        <w:jc w:val="center"/>
      </w:pPr>
      <w:r>
        <w:object w:dxaOrig="4028" w:dyaOrig="1928" w14:anchorId="032F0BE8">
          <v:shape id="_x0000_i1026" type="#_x0000_t75" style="width:201.6pt;height:96.6pt" o:ole="">
            <v:imagedata r:id="rId14" o:title=""/>
          </v:shape>
          <o:OLEObject Type="Embed" ProgID="Visio.Drawing.11" ShapeID="_x0000_i1026" DrawAspect="Content" ObjectID="_1572447553" r:id="rId15"/>
        </w:object>
      </w:r>
    </w:p>
    <w:p w14:paraId="7AEFA45B" w14:textId="3E39DE73" w:rsidR="00837797" w:rsidRDefault="00E830C2" w:rsidP="00E830C2">
      <w:pPr>
        <w:pStyle w:val="Caption"/>
        <w:jc w:val="center"/>
      </w:pPr>
      <w:r>
        <w:t xml:space="preserve">Figure </w:t>
      </w:r>
      <w:fldSimple w:instr=" SEQ Figure \* ARABIC ">
        <w:r w:rsidR="000C5321">
          <w:rPr>
            <w:noProof/>
          </w:rPr>
          <w:t>2</w:t>
        </w:r>
      </w:fldSimple>
      <w:r>
        <w:t xml:space="preserve"> Partially overlapped transmissions.</w:t>
      </w:r>
    </w:p>
    <w:p w14:paraId="4142688E" w14:textId="24D294F6" w:rsidR="00E830C2" w:rsidRPr="00E830C2" w:rsidRDefault="00E830C2" w:rsidP="00E830C2">
      <w:r>
        <w:t xml:space="preserve">In the above figure, actual transmit power P3 and P4 </w:t>
      </w:r>
      <w:r w:rsidR="0096329F">
        <w:t xml:space="preserve">may </w:t>
      </w:r>
      <w:r>
        <w:t>depend on the transmit power P2 in CC1. In general, the power of a transmission may depend on the transmit power of a transmission that starts later</w:t>
      </w:r>
      <w:r w:rsidR="00511E31">
        <w:t>, i.e., look</w:t>
      </w:r>
      <w:r>
        <w:t>ahead may be required.</w:t>
      </w:r>
    </w:p>
    <w:p w14:paraId="3C11E955" w14:textId="0601A84D" w:rsidR="00837797" w:rsidRDefault="00511E31" w:rsidP="00837797">
      <w:pPr>
        <w:rPr>
          <w:lang w:val="en-GB"/>
        </w:rPr>
      </w:pPr>
      <w:r>
        <w:rPr>
          <w:lang w:val="en-GB"/>
        </w:rPr>
        <w:t>In the sequel</w:t>
      </w:r>
      <w:r w:rsidR="00E830C2">
        <w:rPr>
          <w:lang w:val="en-GB"/>
        </w:rPr>
        <w:t>, we discuss power control with and without look-ahead.</w:t>
      </w:r>
    </w:p>
    <w:p w14:paraId="2386DDA0" w14:textId="71DD4A83" w:rsidR="00E830C2" w:rsidRDefault="00511E31" w:rsidP="00E830C2">
      <w:pPr>
        <w:pStyle w:val="Heading2"/>
      </w:pPr>
      <w:r>
        <w:t>Power control without look</w:t>
      </w:r>
      <w:r w:rsidR="00E830C2">
        <w:t>ahead</w:t>
      </w:r>
    </w:p>
    <w:p w14:paraId="2100A3D3" w14:textId="77777777" w:rsidR="007E590D" w:rsidRDefault="00511E31" w:rsidP="00837797">
      <w:pPr>
        <w:rPr>
          <w:lang w:val="en-GB"/>
        </w:rPr>
      </w:pPr>
      <w:r>
        <w:rPr>
          <w:lang w:val="en-GB"/>
        </w:rPr>
        <w:t xml:space="preserve">Power control without lookahead does not need any additional timeline requirements. </w:t>
      </w:r>
      <w:r w:rsidR="007E590D">
        <w:rPr>
          <w:lang w:val="en-GB"/>
        </w:rPr>
        <w:t>An example power allocation is the following:</w:t>
      </w:r>
    </w:p>
    <w:p w14:paraId="322C131E" w14:textId="147E6FD0" w:rsidR="00837797" w:rsidRPr="0096329F" w:rsidRDefault="00511E31" w:rsidP="00A35AD2">
      <w:pPr>
        <w:pStyle w:val="ListParagraph"/>
        <w:numPr>
          <w:ilvl w:val="0"/>
          <w:numId w:val="14"/>
        </w:numPr>
        <w:rPr>
          <w:sz w:val="20"/>
          <w:szCs w:val="20"/>
          <w:lang w:val="en-GB"/>
        </w:rPr>
      </w:pPr>
      <w:r w:rsidRPr="0096329F">
        <w:rPr>
          <w:sz w:val="20"/>
          <w:szCs w:val="20"/>
          <w:lang w:val="en-GB"/>
        </w:rPr>
        <w:t xml:space="preserve">UE performs power </w:t>
      </w:r>
      <w:r w:rsidR="00DB12CC" w:rsidRPr="0096329F">
        <w:rPr>
          <w:sz w:val="20"/>
          <w:szCs w:val="20"/>
          <w:lang w:val="en-GB"/>
        </w:rPr>
        <w:t xml:space="preserve">allocation symbol by symbol </w:t>
      </w:r>
    </w:p>
    <w:p w14:paraId="3B9CD243" w14:textId="2D08D5C7" w:rsidR="00DB12CC" w:rsidRPr="00DB12CC" w:rsidRDefault="00DB12CC" w:rsidP="00A35AD2">
      <w:pPr>
        <w:numPr>
          <w:ilvl w:val="0"/>
          <w:numId w:val="14"/>
        </w:numPr>
        <w:overflowPunct/>
        <w:autoSpaceDE/>
        <w:autoSpaceDN/>
        <w:adjustRightInd/>
        <w:spacing w:after="0" w:line="228" w:lineRule="auto"/>
        <w:contextualSpacing/>
        <w:textAlignment w:val="auto"/>
        <w:rPr>
          <w:rFonts w:eastAsia="Times New Roman"/>
        </w:rPr>
      </w:pPr>
      <w:r w:rsidRPr="00DB12CC">
        <w:rPr>
          <w:rFonts w:eastAsia="+mn-ea"/>
          <w:color w:val="000000"/>
          <w:kern w:val="24"/>
        </w:rPr>
        <w:t xml:space="preserve">At each symbol, UE decides to include transmissions to be transmitted </w:t>
      </w:r>
      <w:r w:rsidR="0096329F">
        <w:rPr>
          <w:rFonts w:eastAsia="+mn-ea"/>
          <w:color w:val="000000"/>
          <w:kern w:val="24"/>
        </w:rPr>
        <w:t>till no power left based on following principles</w:t>
      </w:r>
    </w:p>
    <w:p w14:paraId="0A3B1708" w14:textId="33D2EC4B" w:rsidR="00DB12CC" w:rsidRPr="007E590D" w:rsidRDefault="00DB12CC" w:rsidP="00A35AD2">
      <w:pPr>
        <w:pStyle w:val="ListParagraph"/>
        <w:numPr>
          <w:ilvl w:val="0"/>
          <w:numId w:val="15"/>
        </w:numPr>
        <w:spacing w:line="228" w:lineRule="auto"/>
        <w:contextualSpacing/>
        <w:rPr>
          <w:rFonts w:ascii="Times New Roman" w:eastAsia="Times New Roman" w:hAnsi="Times New Roman"/>
          <w:color w:val="F7921E"/>
          <w:sz w:val="20"/>
          <w:szCs w:val="20"/>
        </w:rPr>
      </w:pPr>
      <w:r w:rsidRPr="007E590D">
        <w:rPr>
          <w:rFonts w:ascii="Times New Roman" w:eastAsia="+mn-ea" w:hAnsi="Times New Roman"/>
          <w:color w:val="000000"/>
          <w:kern w:val="24"/>
          <w:sz w:val="20"/>
          <w:szCs w:val="20"/>
        </w:rPr>
        <w:t>On-going transmissions are included with the same power levels as in the previous symbol or dropped.</w:t>
      </w:r>
    </w:p>
    <w:p w14:paraId="17EF3459" w14:textId="6E9F180A" w:rsidR="00DB12CC" w:rsidRPr="007E590D" w:rsidRDefault="005206A9" w:rsidP="00A35AD2">
      <w:pPr>
        <w:pStyle w:val="ListParagraph"/>
        <w:numPr>
          <w:ilvl w:val="0"/>
          <w:numId w:val="15"/>
        </w:numPr>
        <w:spacing w:line="228" w:lineRule="auto"/>
        <w:contextualSpacing/>
        <w:rPr>
          <w:rFonts w:ascii="Times New Roman" w:eastAsia="Times New Roman" w:hAnsi="Times New Roman"/>
          <w:color w:val="F7921E"/>
          <w:sz w:val="20"/>
          <w:szCs w:val="20"/>
        </w:rPr>
      </w:pPr>
      <w:r>
        <w:rPr>
          <w:rFonts w:ascii="Times New Roman" w:eastAsia="+mn-ea" w:hAnsi="Times New Roman"/>
          <w:color w:val="000000"/>
          <w:kern w:val="24"/>
          <w:sz w:val="20"/>
          <w:szCs w:val="20"/>
        </w:rPr>
        <w:t>New t</w:t>
      </w:r>
      <w:r w:rsidR="00DB12CC" w:rsidRPr="007E590D">
        <w:rPr>
          <w:rFonts w:ascii="Times New Roman" w:eastAsia="+mn-ea" w:hAnsi="Times New Roman"/>
          <w:color w:val="000000"/>
          <w:kern w:val="24"/>
          <w:sz w:val="20"/>
          <w:szCs w:val="20"/>
        </w:rPr>
        <w:t xml:space="preserve">ransmissions </w:t>
      </w:r>
      <w:r w:rsidR="00A05DC7">
        <w:rPr>
          <w:rFonts w:ascii="Times New Roman" w:eastAsia="+mn-ea" w:hAnsi="Times New Roman"/>
          <w:color w:val="000000"/>
          <w:kern w:val="24"/>
          <w:sz w:val="20"/>
          <w:szCs w:val="20"/>
        </w:rPr>
        <w:t xml:space="preserve">are added sequentially with </w:t>
      </w:r>
      <w:r w:rsidR="00DB12CC" w:rsidRPr="007E590D">
        <w:rPr>
          <w:rFonts w:ascii="Times New Roman" w:eastAsia="+mn-ea" w:hAnsi="Times New Roman"/>
          <w:color w:val="000000"/>
          <w:kern w:val="24"/>
          <w:sz w:val="20"/>
          <w:szCs w:val="20"/>
        </w:rPr>
        <w:t xml:space="preserve">higher priority </w:t>
      </w:r>
      <w:r w:rsidR="00A05DC7">
        <w:rPr>
          <w:rFonts w:ascii="Times New Roman" w:eastAsia="+mn-ea" w:hAnsi="Times New Roman"/>
          <w:color w:val="000000"/>
          <w:kern w:val="24"/>
          <w:sz w:val="20"/>
          <w:szCs w:val="20"/>
        </w:rPr>
        <w:t xml:space="preserve">transmission(s) </w:t>
      </w:r>
      <w:r w:rsidR="00DB12CC" w:rsidRPr="007E590D">
        <w:rPr>
          <w:rFonts w:ascii="Times New Roman" w:eastAsia="+mn-ea" w:hAnsi="Times New Roman"/>
          <w:color w:val="000000"/>
          <w:kern w:val="24"/>
          <w:sz w:val="20"/>
          <w:szCs w:val="20"/>
        </w:rPr>
        <w:t>are included first.</w:t>
      </w:r>
    </w:p>
    <w:p w14:paraId="4EB7F4C7" w14:textId="1CB8B7F0" w:rsidR="00DB12CC" w:rsidRPr="00A05DC7" w:rsidRDefault="00DB12CC" w:rsidP="00A05DC7">
      <w:pPr>
        <w:pStyle w:val="ListParagraph"/>
        <w:numPr>
          <w:ilvl w:val="0"/>
          <w:numId w:val="16"/>
        </w:numPr>
        <w:spacing w:line="228" w:lineRule="auto"/>
        <w:contextualSpacing/>
        <w:rPr>
          <w:rFonts w:ascii="Times New Roman" w:eastAsia="Times New Roman" w:hAnsi="Times New Roman"/>
          <w:color w:val="F7921E"/>
          <w:sz w:val="20"/>
          <w:szCs w:val="20"/>
        </w:rPr>
      </w:pPr>
      <w:r w:rsidRPr="00A05DC7">
        <w:rPr>
          <w:rFonts w:ascii="Times New Roman" w:eastAsia="+mn-ea" w:hAnsi="Times New Roman"/>
          <w:color w:val="000000"/>
          <w:kern w:val="24"/>
          <w:sz w:val="20"/>
          <w:szCs w:val="20"/>
        </w:rPr>
        <w:t>Power scaling may be applied to newly included transmissions to fit the power budget.</w:t>
      </w:r>
    </w:p>
    <w:p w14:paraId="7859E07D" w14:textId="4D4848A8" w:rsidR="00A05DC7" w:rsidRPr="00A05DC7" w:rsidRDefault="00A05DC7" w:rsidP="00A05DC7">
      <w:pPr>
        <w:pStyle w:val="ListParagraph"/>
        <w:numPr>
          <w:ilvl w:val="0"/>
          <w:numId w:val="16"/>
        </w:numPr>
        <w:spacing w:line="228" w:lineRule="auto"/>
        <w:contextualSpacing/>
        <w:rPr>
          <w:rFonts w:ascii="Times New Roman" w:eastAsia="Times New Roman" w:hAnsi="Times New Roman"/>
          <w:color w:val="F7921E"/>
          <w:sz w:val="20"/>
          <w:szCs w:val="20"/>
        </w:rPr>
      </w:pPr>
      <w:r>
        <w:rPr>
          <w:rFonts w:ascii="Times New Roman" w:eastAsia="+mn-ea" w:hAnsi="Times New Roman"/>
          <w:color w:val="000000"/>
          <w:kern w:val="24"/>
          <w:sz w:val="20"/>
          <w:szCs w:val="20"/>
        </w:rPr>
        <w:t>Or alternatively, one or more ongoing transmissions of lower priority may be dropped to fit the power budget.</w:t>
      </w:r>
    </w:p>
    <w:p w14:paraId="757531A6" w14:textId="7F1EFC01" w:rsidR="00A05DC7" w:rsidRPr="00A05DC7" w:rsidRDefault="00A05DC7" w:rsidP="00A05DC7">
      <w:pPr>
        <w:pStyle w:val="ListParagraph"/>
        <w:numPr>
          <w:ilvl w:val="1"/>
          <w:numId w:val="18"/>
        </w:numPr>
        <w:spacing w:line="228" w:lineRule="auto"/>
        <w:contextualSpacing/>
        <w:rPr>
          <w:rFonts w:ascii="Times New Roman" w:eastAsia="Times New Roman" w:hAnsi="Times New Roman"/>
          <w:color w:val="F7921E"/>
          <w:sz w:val="20"/>
          <w:szCs w:val="20"/>
        </w:rPr>
      </w:pPr>
      <w:r>
        <w:rPr>
          <w:rFonts w:ascii="Times New Roman" w:eastAsia="+mn-ea" w:hAnsi="Times New Roman"/>
          <w:color w:val="000000"/>
          <w:kern w:val="24"/>
          <w:sz w:val="20"/>
          <w:szCs w:val="20"/>
        </w:rPr>
        <w:t>In case dropping, all ongoing transmissions that share RF chain(s) must be dropped together.</w:t>
      </w:r>
    </w:p>
    <w:p w14:paraId="10E29586" w14:textId="2FB05561" w:rsidR="00A05DC7" w:rsidRPr="0096329F" w:rsidRDefault="00A05DC7" w:rsidP="00A05DC7">
      <w:pPr>
        <w:pStyle w:val="ListParagraph"/>
        <w:spacing w:line="228" w:lineRule="auto"/>
        <w:ind w:left="936"/>
        <w:contextualSpacing/>
        <w:rPr>
          <w:rFonts w:ascii="Times New Roman" w:eastAsia="Times New Roman" w:hAnsi="Times New Roman"/>
          <w:color w:val="F7921E"/>
          <w:sz w:val="20"/>
          <w:szCs w:val="20"/>
        </w:rPr>
      </w:pPr>
    </w:p>
    <w:p w14:paraId="774545E5" w14:textId="77777777" w:rsidR="0096329F" w:rsidRPr="007E590D" w:rsidRDefault="0096329F" w:rsidP="0096329F">
      <w:pPr>
        <w:pStyle w:val="ListParagraph"/>
        <w:spacing w:line="228" w:lineRule="auto"/>
        <w:ind w:left="936"/>
        <w:contextualSpacing/>
        <w:rPr>
          <w:rFonts w:ascii="Times New Roman" w:eastAsia="Times New Roman" w:hAnsi="Times New Roman"/>
          <w:color w:val="F7921E"/>
          <w:sz w:val="20"/>
          <w:szCs w:val="20"/>
        </w:rPr>
      </w:pPr>
    </w:p>
    <w:p w14:paraId="7055544C" w14:textId="076FDFF2" w:rsidR="00DB12CC" w:rsidRDefault="00270360" w:rsidP="00837797">
      <w:pPr>
        <w:rPr>
          <w:lang w:val="en-GB"/>
        </w:rPr>
      </w:pPr>
      <w:r>
        <w:rPr>
          <w:lang w:val="en-GB"/>
        </w:rPr>
        <w:t>Without lookahead, t</w:t>
      </w:r>
      <w:r w:rsidR="007E590D">
        <w:rPr>
          <w:lang w:val="en-GB"/>
        </w:rPr>
        <w:t xml:space="preserve">he above power control mechanism is </w:t>
      </w:r>
      <w:r>
        <w:rPr>
          <w:lang w:val="en-GB"/>
        </w:rPr>
        <w:t>suboptimal. A short transmission may be unnecessarily dropped</w:t>
      </w:r>
      <w:r w:rsidR="00A05DC7">
        <w:rPr>
          <w:lang w:val="en-GB"/>
        </w:rPr>
        <w:t>/scaled</w:t>
      </w:r>
      <w:r>
        <w:rPr>
          <w:lang w:val="en-GB"/>
        </w:rPr>
        <w:t xml:space="preserve"> due to another ongoing transmission that is forced to be dropped/scaled later. In addition, it is i</w:t>
      </w:r>
      <w:r w:rsidR="007E590D">
        <w:rPr>
          <w:lang w:val="en-GB"/>
        </w:rPr>
        <w:t xml:space="preserve">ncapable of differentiate different priority levels of the ongoing transmissions </w:t>
      </w:r>
      <w:r w:rsidR="00A05DC7">
        <w:rPr>
          <w:lang w:val="en-GB"/>
        </w:rPr>
        <w:t>shared RF chain(s).</w:t>
      </w:r>
    </w:p>
    <w:p w14:paraId="2FD269B6" w14:textId="2F72237E" w:rsidR="00270360" w:rsidRDefault="00270360" w:rsidP="00270360">
      <w:pPr>
        <w:pStyle w:val="Heading2"/>
      </w:pPr>
      <w:r>
        <w:t>Power control with lookahead</w:t>
      </w:r>
    </w:p>
    <w:p w14:paraId="48C8711D" w14:textId="1806A930" w:rsidR="00270360" w:rsidRDefault="00270360" w:rsidP="00270360">
      <w:pPr>
        <w:rPr>
          <w:lang w:val="en-GB"/>
        </w:rPr>
      </w:pPr>
      <w:r>
        <w:rPr>
          <w:lang w:val="en-GB"/>
        </w:rPr>
        <w:t>Better power control mechanisms can be devised with lookahead. In such a case, however, UE timeline must be considered. To accommodate different UE processing timeline, we introduce the concept of power cont</w:t>
      </w:r>
      <w:r w:rsidR="00472B80">
        <w:rPr>
          <w:lang w:val="en-GB"/>
        </w:rPr>
        <w:t xml:space="preserve">rol determination period (PCDP) which can </w:t>
      </w:r>
      <w:r w:rsidR="00AE1841">
        <w:rPr>
          <w:lang w:val="en-GB"/>
        </w:rPr>
        <w:t>be understood as the period during which UE calculates the power of a transmission. As such, transmissions can be treated with different priority depending on their PDCP.</w:t>
      </w:r>
    </w:p>
    <w:p w14:paraId="1DB1A69E" w14:textId="1E53C5C4" w:rsidR="00265357" w:rsidRPr="00750C3E" w:rsidRDefault="0083103E" w:rsidP="00270360">
      <w:pPr>
        <w:rPr>
          <w:b/>
          <w:i/>
          <w:lang w:val="en-GB"/>
        </w:rPr>
      </w:pPr>
      <w:bookmarkStart w:id="6" w:name="_Hlk498705469"/>
      <w:r>
        <w:rPr>
          <w:b/>
          <w:i/>
          <w:u w:val="single"/>
          <w:lang w:val="en-GB"/>
        </w:rPr>
        <w:t>Proposal 2</w:t>
      </w:r>
      <w:r w:rsidR="00265357" w:rsidRPr="00750C3E">
        <w:rPr>
          <w:b/>
          <w:i/>
          <w:u w:val="single"/>
          <w:lang w:val="en-GB"/>
        </w:rPr>
        <w:t>:</w:t>
      </w:r>
      <w:r w:rsidR="00265357" w:rsidRPr="00750C3E">
        <w:rPr>
          <w:b/>
          <w:i/>
          <w:lang w:val="en-GB"/>
        </w:rPr>
        <w:t xml:space="preserve"> </w:t>
      </w:r>
      <w:r w:rsidR="00750C3E">
        <w:rPr>
          <w:b/>
          <w:i/>
          <w:lang w:val="en-GB"/>
        </w:rPr>
        <w:t>Define t</w:t>
      </w:r>
      <w:r w:rsidR="00265357" w:rsidRPr="00750C3E">
        <w:rPr>
          <w:b/>
          <w:i/>
          <w:lang w:val="en-GB"/>
        </w:rPr>
        <w:t xml:space="preserve">he power control determination period (PCDP) of an UL transmission </w:t>
      </w:r>
      <w:r w:rsidR="00750C3E">
        <w:rPr>
          <w:b/>
          <w:i/>
          <w:lang w:val="en-GB"/>
        </w:rPr>
        <w:t>as below</w:t>
      </w:r>
      <w:r w:rsidR="00750C3E" w:rsidRPr="00750C3E">
        <w:rPr>
          <w:b/>
          <w:i/>
          <w:lang w:val="en-GB"/>
        </w:rPr>
        <w:t xml:space="preserve"> </w:t>
      </w:r>
    </w:p>
    <w:p w14:paraId="626A5BF7" w14:textId="2055E3B4" w:rsidR="00750C3E" w:rsidRPr="00750C3E" w:rsidRDefault="00750C3E" w:rsidP="00A35AD2">
      <w:pPr>
        <w:pStyle w:val="ListParagraph"/>
        <w:numPr>
          <w:ilvl w:val="0"/>
          <w:numId w:val="17"/>
        </w:numPr>
        <w:rPr>
          <w:rFonts w:ascii="Times New Roman" w:hAnsi="Times New Roman"/>
          <w:b/>
          <w:i/>
          <w:lang w:val="en-GB"/>
        </w:rPr>
      </w:pPr>
      <w:r w:rsidRPr="00750C3E">
        <w:rPr>
          <w:rFonts w:ascii="Times New Roman" w:hAnsi="Times New Roman"/>
          <w:b/>
          <w:i/>
          <w:lang w:val="en-GB"/>
        </w:rPr>
        <w:t>for self-contained PUCCH/PUSCH</w:t>
      </w:r>
      <w:r>
        <w:rPr>
          <w:rFonts w:ascii="Times New Roman" w:hAnsi="Times New Roman"/>
          <w:b/>
          <w:i/>
          <w:lang w:val="en-GB"/>
        </w:rPr>
        <w:t xml:space="preserve">, the PCDP is the duration </w:t>
      </w:r>
      <w:r w:rsidR="00265357" w:rsidRPr="00750C3E">
        <w:rPr>
          <w:rFonts w:ascii="Times New Roman" w:hAnsi="Times New Roman"/>
          <w:b/>
          <w:i/>
          <w:lang w:val="en-GB"/>
        </w:rPr>
        <w:t xml:space="preserve">from the end of the </w:t>
      </w:r>
      <w:r>
        <w:rPr>
          <w:rFonts w:ascii="Times New Roman" w:hAnsi="Times New Roman"/>
          <w:b/>
          <w:i/>
          <w:lang w:val="en-GB"/>
        </w:rPr>
        <w:t>associated grant</w:t>
      </w:r>
      <w:r w:rsidR="00265357" w:rsidRPr="00750C3E">
        <w:rPr>
          <w:rFonts w:ascii="Times New Roman" w:hAnsi="Times New Roman"/>
          <w:b/>
          <w:i/>
          <w:lang w:val="en-GB"/>
        </w:rPr>
        <w:t xml:space="preserve"> to th</w:t>
      </w:r>
      <w:r w:rsidRPr="00750C3E">
        <w:rPr>
          <w:rFonts w:ascii="Times New Roman" w:hAnsi="Times New Roman"/>
          <w:b/>
          <w:i/>
          <w:lang w:val="en-GB"/>
        </w:rPr>
        <w:t>e beginning of the transmission, and</w:t>
      </w:r>
    </w:p>
    <w:p w14:paraId="384DAB07" w14:textId="4C408F98" w:rsidR="00750C3E" w:rsidRPr="00750C3E" w:rsidRDefault="00750C3E" w:rsidP="00A35AD2">
      <w:pPr>
        <w:pStyle w:val="ListParagraph"/>
        <w:numPr>
          <w:ilvl w:val="0"/>
          <w:numId w:val="17"/>
        </w:numPr>
        <w:rPr>
          <w:rFonts w:ascii="Times New Roman" w:hAnsi="Times New Roman"/>
          <w:b/>
          <w:i/>
          <w:lang w:val="en-GB"/>
        </w:rPr>
      </w:pPr>
      <w:r>
        <w:rPr>
          <w:rFonts w:ascii="Times New Roman" w:hAnsi="Times New Roman"/>
          <w:b/>
          <w:i/>
          <w:lang w:val="en-GB"/>
        </w:rPr>
        <w:t>for all other cases</w:t>
      </w:r>
      <w:r w:rsidR="00AE1841">
        <w:rPr>
          <w:rFonts w:ascii="Times New Roman" w:hAnsi="Times New Roman"/>
          <w:b/>
          <w:i/>
          <w:lang w:val="en-GB"/>
        </w:rPr>
        <w:t xml:space="preserve"> with UE capability K2=1</w:t>
      </w:r>
      <w:r>
        <w:rPr>
          <w:rFonts w:ascii="Times New Roman" w:hAnsi="Times New Roman"/>
          <w:b/>
          <w:i/>
          <w:lang w:val="en-GB"/>
        </w:rPr>
        <w:t xml:space="preserve">, the PCDP is the duration </w:t>
      </w:r>
      <w:r w:rsidRPr="00750C3E">
        <w:rPr>
          <w:rFonts w:ascii="Times New Roman" w:hAnsi="Times New Roman"/>
          <w:b/>
          <w:i/>
          <w:lang w:val="en-GB"/>
        </w:rPr>
        <w:t>from the end of the control region</w:t>
      </w:r>
      <w:r w:rsidR="00472B80">
        <w:rPr>
          <w:rFonts w:ascii="Times New Roman" w:hAnsi="Times New Roman"/>
          <w:b/>
          <w:i/>
          <w:lang w:val="en-GB"/>
        </w:rPr>
        <w:t xml:space="preserve"> of the slot</w:t>
      </w:r>
      <w:r w:rsidR="00472B80" w:rsidRPr="00472B80">
        <w:rPr>
          <w:rFonts w:ascii="Times New Roman" w:hAnsi="Times New Roman"/>
          <w:b/>
          <w:i/>
          <w:lang w:val="en-GB"/>
        </w:rPr>
        <w:t xml:space="preserve"> </w:t>
      </w:r>
      <w:r w:rsidR="00472B80" w:rsidRPr="00750C3E">
        <w:rPr>
          <w:rFonts w:ascii="Times New Roman" w:hAnsi="Times New Roman"/>
          <w:b/>
          <w:i/>
          <w:lang w:val="en-GB"/>
        </w:rPr>
        <w:t>immediately prior to the slot of transmission</w:t>
      </w:r>
      <w:r w:rsidRPr="00750C3E">
        <w:rPr>
          <w:rFonts w:ascii="Times New Roman" w:hAnsi="Times New Roman"/>
          <w:b/>
          <w:i/>
          <w:lang w:val="en-GB"/>
        </w:rPr>
        <w:t xml:space="preserve"> to the end of the slot immediately prior to the slot of transmission.</w:t>
      </w:r>
    </w:p>
    <w:bookmarkEnd w:id="6"/>
    <w:p w14:paraId="211F0AD5" w14:textId="77777777" w:rsidR="00750C3E" w:rsidRDefault="00750C3E" w:rsidP="00270360">
      <w:pPr>
        <w:rPr>
          <w:lang w:val="en-GB"/>
        </w:rPr>
      </w:pPr>
    </w:p>
    <w:p w14:paraId="32512105" w14:textId="4A4131A7" w:rsidR="00750C3E" w:rsidRDefault="00750C3E" w:rsidP="00270360">
      <w:pPr>
        <w:rPr>
          <w:lang w:val="en-GB"/>
        </w:rPr>
      </w:pPr>
      <w:r>
        <w:rPr>
          <w:lang w:val="en-GB"/>
        </w:rPr>
        <w:t>In Figure</w:t>
      </w:r>
      <w:r w:rsidR="0055427E">
        <w:rPr>
          <w:lang w:val="en-GB"/>
        </w:rPr>
        <w:t>s</w:t>
      </w:r>
      <w:r>
        <w:rPr>
          <w:lang w:val="en-GB"/>
        </w:rPr>
        <w:t xml:space="preserve"> 3</w:t>
      </w:r>
      <w:r w:rsidR="0055427E">
        <w:rPr>
          <w:lang w:val="en-GB"/>
        </w:rPr>
        <w:t>-5</w:t>
      </w:r>
      <w:r>
        <w:rPr>
          <w:lang w:val="en-GB"/>
        </w:rPr>
        <w:t xml:space="preserve">, the PCDP </w:t>
      </w:r>
      <w:r w:rsidR="0055427E">
        <w:rPr>
          <w:lang w:val="en-GB"/>
        </w:rPr>
        <w:t xml:space="preserve">for </w:t>
      </w:r>
      <w:r>
        <w:rPr>
          <w:lang w:val="en-GB"/>
        </w:rPr>
        <w:t>different cases are depicted.</w:t>
      </w:r>
      <w:r w:rsidR="00CE37A7" w:rsidRPr="00CE37A7">
        <w:t xml:space="preserve"> </w:t>
      </w:r>
      <w:r w:rsidR="0099357D">
        <w:object w:dxaOrig="11258" w:dyaOrig="6334" w14:anchorId="6E97575F">
          <v:shape id="_x0000_i1027" type="#_x0000_t75" style="width:498.3pt;height:280.2pt" o:ole="">
            <v:imagedata r:id="rId16" o:title=""/>
          </v:shape>
          <o:OLEObject Type="Embed" ProgID="Visio.Drawing.11" ShapeID="_x0000_i1027" DrawAspect="Content" ObjectID="_1572447554" r:id="rId17"/>
        </w:object>
      </w:r>
    </w:p>
    <w:p w14:paraId="3141B6DB" w14:textId="187BF210" w:rsidR="0055427E" w:rsidRDefault="0055427E" w:rsidP="0055427E">
      <w:pPr>
        <w:keepNext/>
      </w:pPr>
    </w:p>
    <w:p w14:paraId="278121AF" w14:textId="6C30E5DE" w:rsidR="00750C3E" w:rsidRDefault="0055427E" w:rsidP="0055427E">
      <w:pPr>
        <w:pStyle w:val="Caption"/>
        <w:jc w:val="center"/>
        <w:rPr>
          <w:lang w:val="en-GB"/>
        </w:rPr>
      </w:pPr>
      <w:r>
        <w:t xml:space="preserve">Figure </w:t>
      </w:r>
      <w:fldSimple w:instr=" SEQ Figure \* ARABIC ">
        <w:r w:rsidR="000C5321">
          <w:rPr>
            <w:noProof/>
          </w:rPr>
          <w:t>3</w:t>
        </w:r>
      </w:fldSimple>
      <w:r>
        <w:t xml:space="preserve"> PCDP of PUSCH of different numerology.</w:t>
      </w:r>
    </w:p>
    <w:p w14:paraId="66996D30" w14:textId="77777777" w:rsidR="00CE37A7" w:rsidRDefault="00CE37A7" w:rsidP="00CE37A7">
      <w:pPr>
        <w:keepNext/>
      </w:pPr>
      <w:r>
        <w:object w:dxaOrig="10993" w:dyaOrig="5740" w14:anchorId="2BEE5E35">
          <v:shape id="_x0000_i1028" type="#_x0000_t75" style="width:466.8pt;height:243.6pt" o:ole="">
            <v:imagedata r:id="rId18" o:title=""/>
          </v:shape>
          <o:OLEObject Type="Embed" ProgID="Visio.Drawing.11" ShapeID="_x0000_i1028" DrawAspect="Content" ObjectID="_1572447555" r:id="rId19"/>
        </w:object>
      </w:r>
    </w:p>
    <w:p w14:paraId="1FACF53E" w14:textId="2C480D42" w:rsidR="0055427E" w:rsidRDefault="00CE37A7" w:rsidP="00CE37A7">
      <w:pPr>
        <w:pStyle w:val="Caption"/>
        <w:jc w:val="center"/>
        <w:rPr>
          <w:lang w:val="en-GB"/>
        </w:rPr>
      </w:pPr>
      <w:r>
        <w:t xml:space="preserve">Figure </w:t>
      </w:r>
      <w:fldSimple w:instr=" SEQ Figure \* ARABIC ">
        <w:r w:rsidR="000C5321">
          <w:rPr>
            <w:noProof/>
          </w:rPr>
          <w:t>4</w:t>
        </w:r>
      </w:fldSimple>
      <w:r w:rsidR="00A05DC7">
        <w:t xml:space="preserve"> PCDP of sel</w:t>
      </w:r>
      <w:r>
        <w:t>f-contained and cross-slot scheduled PUSCH</w:t>
      </w:r>
    </w:p>
    <w:p w14:paraId="22F89971" w14:textId="77777777" w:rsidR="0099357D" w:rsidRDefault="0099357D" w:rsidP="0099357D">
      <w:pPr>
        <w:keepNext/>
      </w:pPr>
      <w:r>
        <w:object w:dxaOrig="12582" w:dyaOrig="8914" w14:anchorId="5CD8DDB1">
          <v:shape id="_x0000_i1029" type="#_x0000_t75" style="width:498.3pt;height:353.1pt" o:ole="">
            <v:imagedata r:id="rId20" o:title=""/>
          </v:shape>
          <o:OLEObject Type="Embed" ProgID="Visio.Drawing.11" ShapeID="_x0000_i1029" DrawAspect="Content" ObjectID="_1572447556" r:id="rId21"/>
        </w:object>
      </w:r>
    </w:p>
    <w:p w14:paraId="5481C2EF" w14:textId="028A4499" w:rsidR="0099357D" w:rsidRDefault="0099357D" w:rsidP="0099357D">
      <w:pPr>
        <w:pStyle w:val="Caption"/>
        <w:jc w:val="center"/>
      </w:pPr>
      <w:r>
        <w:t xml:space="preserve">Figure </w:t>
      </w:r>
      <w:fldSimple w:instr=" SEQ Figure \* ARABIC ">
        <w:r w:rsidR="000C5321">
          <w:rPr>
            <w:noProof/>
          </w:rPr>
          <w:t>5</w:t>
        </w:r>
      </w:fldSimple>
      <w:r>
        <w:t xml:space="preserve"> PCDP of SRS and HARQ-ACK.</w:t>
      </w:r>
    </w:p>
    <w:p w14:paraId="3AC0A74F" w14:textId="77777777" w:rsidR="00000573" w:rsidRPr="00000573" w:rsidRDefault="00000573" w:rsidP="00000573"/>
    <w:p w14:paraId="3B237A7F" w14:textId="77777777" w:rsidR="00000573" w:rsidRDefault="00000573" w:rsidP="00270360">
      <w:pPr>
        <w:rPr>
          <w:lang w:val="en-GB"/>
        </w:rPr>
      </w:pPr>
      <w:r>
        <w:rPr>
          <w:lang w:val="en-GB"/>
        </w:rPr>
        <w:t>Depending on the timing relationship of the PCDPs of two transmissions, we propose the following for UE power control</w:t>
      </w:r>
    </w:p>
    <w:p w14:paraId="3CC33B4A" w14:textId="38FD12E2" w:rsidR="00000573" w:rsidRPr="000C5321" w:rsidRDefault="00000573" w:rsidP="00000573">
      <w:pPr>
        <w:rPr>
          <w:b/>
          <w:i/>
        </w:rPr>
      </w:pPr>
      <w:r w:rsidRPr="000C5321">
        <w:rPr>
          <w:b/>
          <w:i/>
          <w:u w:val="single"/>
          <w:lang w:val="en-GB"/>
        </w:rPr>
        <w:t xml:space="preserve">Proposal </w:t>
      </w:r>
      <w:r w:rsidR="0083103E">
        <w:rPr>
          <w:b/>
          <w:i/>
          <w:u w:val="single"/>
          <w:lang w:val="en-GB"/>
        </w:rPr>
        <w:t>3</w:t>
      </w:r>
      <w:r w:rsidRPr="000C5321">
        <w:rPr>
          <w:b/>
          <w:i/>
          <w:u w:val="single"/>
          <w:lang w:val="en-GB"/>
        </w:rPr>
        <w:t>:</w:t>
      </w:r>
      <w:r w:rsidRPr="000C5321">
        <w:rPr>
          <w:b/>
          <w:i/>
        </w:rPr>
        <w:t xml:space="preserve"> For NR CA power control</w:t>
      </w:r>
    </w:p>
    <w:p w14:paraId="610432A5" w14:textId="58FEA9C1" w:rsidR="00000573" w:rsidRPr="000C5321" w:rsidRDefault="00000573" w:rsidP="00D04B39">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transmissions of different numerology the PCDP fully or partially overlaps</w:t>
      </w:r>
    </w:p>
    <w:p w14:paraId="7917CE90" w14:textId="58281856" w:rsidR="00000573" w:rsidRPr="000C5321" w:rsidRDefault="00000573" w:rsidP="00D04B39">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Channel prioritization between the different numerologies is up to UE implementation</w:t>
      </w:r>
    </w:p>
    <w:p w14:paraId="215C565C" w14:textId="77777777" w:rsidR="00000573" w:rsidRPr="000C5321" w:rsidRDefault="00000573" w:rsidP="00D04B39">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different numerology the PCDP is fully disjoint</w:t>
      </w:r>
    </w:p>
    <w:p w14:paraId="6E69DE90" w14:textId="2240877D" w:rsidR="00000573" w:rsidRPr="000C5321" w:rsidRDefault="00000573" w:rsidP="00D04B39">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The transmission corresponding to the earlier PCDP is considered ongoing and has higher priority</w:t>
      </w:r>
    </w:p>
    <w:p w14:paraId="6E8C1DAA" w14:textId="77777777" w:rsidR="00000573" w:rsidRPr="000C5321" w:rsidRDefault="00000573" w:rsidP="00D04B39">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the same numerology the PCDP partially overlaps</w:t>
      </w:r>
    </w:p>
    <w:p w14:paraId="105AFD92" w14:textId="6DC43097" w:rsidR="00000573" w:rsidRPr="000C5321" w:rsidRDefault="00000573" w:rsidP="00D04B39">
      <w:pPr>
        <w:pStyle w:val="ListParagraph"/>
        <w:numPr>
          <w:ilvl w:val="0"/>
          <w:numId w:val="21"/>
        </w:numPr>
        <w:ind w:left="1080"/>
        <w:rPr>
          <w:rFonts w:ascii="Times New Roman" w:hAnsi="Times New Roman"/>
          <w:b/>
          <w:i/>
          <w:sz w:val="20"/>
          <w:szCs w:val="20"/>
          <w:lang w:val="en-GB"/>
        </w:rPr>
      </w:pPr>
      <w:r w:rsidRPr="000C5321">
        <w:rPr>
          <w:rFonts w:ascii="Times New Roman" w:hAnsi="Times New Roman"/>
          <w:b/>
          <w:i/>
          <w:sz w:val="20"/>
          <w:szCs w:val="20"/>
          <w:lang w:val="en-GB"/>
        </w:rPr>
        <w:t xml:space="preserve"> Channel prioritization between the different numerologies is up to UE implementation</w:t>
      </w:r>
    </w:p>
    <w:p w14:paraId="0DBE726E" w14:textId="77777777" w:rsidR="00000573" w:rsidRPr="000C5321" w:rsidRDefault="00000573" w:rsidP="00D04B39">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the same numerology the PCDP is identical and fully overlaps</w:t>
      </w:r>
    </w:p>
    <w:p w14:paraId="6094760C" w14:textId="3333D6C3" w:rsidR="00000573" w:rsidRPr="000C5321" w:rsidRDefault="00D04B39" w:rsidP="00D04B39">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Power control</w:t>
      </w:r>
      <w:r w:rsidR="00000573" w:rsidRPr="000C5321">
        <w:rPr>
          <w:rFonts w:ascii="Times New Roman" w:hAnsi="Times New Roman"/>
          <w:b/>
          <w:i/>
          <w:sz w:val="20"/>
          <w:szCs w:val="20"/>
          <w:lang w:val="en-GB"/>
        </w:rPr>
        <w:t xml:space="preserve"> is handled jointly</w:t>
      </w:r>
    </w:p>
    <w:p w14:paraId="6A4DC3AE" w14:textId="491FF220" w:rsidR="00265357" w:rsidRDefault="00000573" w:rsidP="00000573">
      <w:pPr>
        <w:rPr>
          <w:lang w:val="en-GB"/>
        </w:rPr>
      </w:pPr>
      <w:r>
        <w:rPr>
          <w:lang w:val="en-GB"/>
        </w:rPr>
        <w:t xml:space="preserve">       </w:t>
      </w:r>
    </w:p>
    <w:p w14:paraId="699898C1" w14:textId="0B5B9B4E" w:rsidR="00000573" w:rsidRDefault="00000573" w:rsidP="00000573">
      <w:pPr>
        <w:rPr>
          <w:lang w:val="en-GB"/>
        </w:rPr>
      </w:pPr>
      <w:r>
        <w:rPr>
          <w:lang w:val="en-GB"/>
        </w:rPr>
        <w:t xml:space="preserve">         With the above rules for power control depending on PCDP, power control with look ahead is allowed and UE can allocate power to a transmission depending on </w:t>
      </w:r>
      <w:r w:rsidR="000F47EE">
        <w:rPr>
          <w:lang w:val="en-GB"/>
        </w:rPr>
        <w:t xml:space="preserve">all </w:t>
      </w:r>
      <w:r>
        <w:rPr>
          <w:lang w:val="en-GB"/>
        </w:rPr>
        <w:t>other overlapped transmissions.</w:t>
      </w:r>
    </w:p>
    <w:p w14:paraId="386D8CAD" w14:textId="6075464F" w:rsidR="00000573" w:rsidRPr="003075BF" w:rsidRDefault="0083103E" w:rsidP="00000573">
      <w:pPr>
        <w:rPr>
          <w:b/>
          <w:i/>
          <w:lang w:val="en-GB"/>
        </w:rPr>
      </w:pPr>
      <w:r>
        <w:rPr>
          <w:b/>
          <w:i/>
          <w:u w:val="single"/>
          <w:lang w:val="en-GB"/>
        </w:rPr>
        <w:t>Proposal 4</w:t>
      </w:r>
      <w:r w:rsidR="00000573" w:rsidRPr="003075BF">
        <w:rPr>
          <w:b/>
          <w:i/>
          <w:u w:val="single"/>
          <w:lang w:val="en-GB"/>
        </w:rPr>
        <w:t>:</w:t>
      </w:r>
      <w:r w:rsidR="00000573" w:rsidRPr="003075BF">
        <w:rPr>
          <w:b/>
          <w:i/>
          <w:lang w:val="en-GB"/>
        </w:rPr>
        <w:t xml:space="preserve"> </w:t>
      </w:r>
      <w:r w:rsidR="000C5321">
        <w:rPr>
          <w:b/>
          <w:i/>
          <w:lang w:val="en-GB"/>
        </w:rPr>
        <w:t xml:space="preserve"> For NR CA power control, power allocation and scaling follows the following steps and principle </w:t>
      </w:r>
    </w:p>
    <w:p w14:paraId="79816406" w14:textId="49C9E6A9" w:rsidR="00D04B39" w:rsidRPr="003075BF" w:rsidRDefault="00D04B39" w:rsidP="00D04B39">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Transmissions are added one-by-one based on priority order, highest priority first</w:t>
      </w:r>
    </w:p>
    <w:p w14:paraId="09996BE5" w14:textId="433FACA7" w:rsidR="00D04B39" w:rsidRPr="003075BF" w:rsidRDefault="00D04B39" w:rsidP="003075BF">
      <w:pPr>
        <w:pStyle w:val="ListParagraph"/>
        <w:numPr>
          <w:ilvl w:val="1"/>
          <w:numId w:val="25"/>
        </w:numPr>
        <w:ind w:left="1080"/>
        <w:rPr>
          <w:rFonts w:ascii="Times New Roman" w:hAnsi="Times New Roman"/>
          <w:b/>
          <w:i/>
          <w:sz w:val="20"/>
          <w:szCs w:val="20"/>
          <w:lang w:val="en-GB"/>
        </w:rPr>
      </w:pPr>
      <w:r w:rsidRPr="003075BF">
        <w:rPr>
          <w:rFonts w:ascii="Times New Roman" w:hAnsi="Times New Roman"/>
          <w:b/>
          <w:i/>
          <w:sz w:val="20"/>
          <w:szCs w:val="20"/>
          <w:lang w:val="en-GB"/>
        </w:rPr>
        <w:t>Every transmission is scaled to fit in available leftover power</w:t>
      </w:r>
    </w:p>
    <w:p w14:paraId="5ACC1B81" w14:textId="626194C8" w:rsidR="00D04B39" w:rsidRPr="003075BF" w:rsidRDefault="00D04B39" w:rsidP="00D04B39">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Available leftover power is a function of symbol index but it is assumed that all symbols of one transmission have the same power after scaling</w:t>
      </w:r>
    </w:p>
    <w:p w14:paraId="6348021F" w14:textId="5B8997CB" w:rsidR="00D04B39" w:rsidRPr="003075BF" w:rsidRDefault="00D04B39" w:rsidP="00D04B39">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 xml:space="preserve">When there are multiple </w:t>
      </w:r>
      <w:r w:rsidR="003075BF" w:rsidRPr="003075BF">
        <w:rPr>
          <w:rFonts w:ascii="Times New Roman" w:hAnsi="Times New Roman"/>
          <w:b/>
          <w:i/>
          <w:sz w:val="20"/>
          <w:szCs w:val="20"/>
          <w:lang w:val="en-GB"/>
        </w:rPr>
        <w:t>transmission</w:t>
      </w:r>
      <w:r w:rsidRPr="003075BF">
        <w:rPr>
          <w:rFonts w:ascii="Times New Roman" w:hAnsi="Times New Roman"/>
          <w:b/>
          <w:i/>
          <w:sz w:val="20"/>
          <w:szCs w:val="20"/>
          <w:lang w:val="en-GB"/>
        </w:rPr>
        <w:t>s with same priority with non-identical transmission durations</w:t>
      </w:r>
    </w:p>
    <w:p w14:paraId="5C864C6E" w14:textId="667F5DE3" w:rsidR="00D04B39" w:rsidRPr="003075BF" w:rsidRDefault="00D04B39" w:rsidP="003075BF">
      <w:pPr>
        <w:pStyle w:val="ListParagraph"/>
        <w:numPr>
          <w:ilvl w:val="1"/>
          <w:numId w:val="26"/>
        </w:numPr>
        <w:ind w:left="1080"/>
        <w:rPr>
          <w:rFonts w:ascii="Times New Roman" w:hAnsi="Times New Roman"/>
          <w:b/>
          <w:i/>
          <w:sz w:val="20"/>
          <w:szCs w:val="20"/>
          <w:lang w:val="en-GB"/>
        </w:rPr>
      </w:pPr>
      <w:r w:rsidRPr="003075BF">
        <w:rPr>
          <w:rFonts w:ascii="Times New Roman" w:hAnsi="Times New Roman"/>
          <w:b/>
          <w:i/>
          <w:sz w:val="20"/>
          <w:szCs w:val="20"/>
          <w:lang w:val="en-GB"/>
        </w:rPr>
        <w:t xml:space="preserve">Power scaling/dropping is up to UE   </w:t>
      </w:r>
    </w:p>
    <w:p w14:paraId="5ACF1589" w14:textId="77777777" w:rsidR="00000573" w:rsidRPr="00000573" w:rsidRDefault="00000573" w:rsidP="00000573">
      <w:pPr>
        <w:rPr>
          <w:lang w:val="en-GB"/>
        </w:rPr>
      </w:pPr>
    </w:p>
    <w:p w14:paraId="4E2E576B" w14:textId="4350ECEA" w:rsidR="00270360" w:rsidRPr="00270360" w:rsidRDefault="000C5321" w:rsidP="00270360">
      <w:pPr>
        <w:rPr>
          <w:lang w:val="en-GB"/>
        </w:rPr>
      </w:pPr>
      <w:r>
        <w:rPr>
          <w:lang w:val="en-GB"/>
        </w:rPr>
        <w:t>An example power control procedure based on the above principles are depicted in Figure 6.</w:t>
      </w:r>
    </w:p>
    <w:p w14:paraId="17FC2111" w14:textId="77777777" w:rsidR="000C5321" w:rsidRDefault="000C5321" w:rsidP="000C5321">
      <w:pPr>
        <w:keepNext/>
      </w:pPr>
      <w:r>
        <w:object w:dxaOrig="10335" w:dyaOrig="5096" w14:anchorId="13EC736B">
          <v:shape id="_x0000_i1030" type="#_x0000_t75" style="width:498pt;height:245.4pt" o:ole="">
            <v:imagedata r:id="rId22" o:title=""/>
          </v:shape>
          <o:OLEObject Type="Embed" ProgID="Visio.Drawing.11" ShapeID="_x0000_i1030" DrawAspect="Content" ObjectID="_1572447557" r:id="rId23"/>
        </w:object>
      </w:r>
    </w:p>
    <w:p w14:paraId="78CF7286" w14:textId="52731DCB" w:rsidR="007E590D" w:rsidRDefault="000C5321" w:rsidP="000C5321">
      <w:pPr>
        <w:pStyle w:val="Caption"/>
        <w:jc w:val="center"/>
      </w:pPr>
      <w:r>
        <w:t xml:space="preserve">Figure </w:t>
      </w:r>
      <w:fldSimple w:instr=" SEQ Figure \* ARABIC ">
        <w:r>
          <w:rPr>
            <w:noProof/>
          </w:rPr>
          <w:t>6</w:t>
        </w:r>
      </w:fldSimple>
      <w:r>
        <w:t xml:space="preserve"> Example power control procedure.</w:t>
      </w:r>
    </w:p>
    <w:p w14:paraId="254AE930" w14:textId="300EE891" w:rsidR="000C5321" w:rsidRDefault="000C5321" w:rsidP="000C5321"/>
    <w:p w14:paraId="46FCCF8D" w14:textId="17109D06" w:rsidR="000C5321" w:rsidRDefault="000C5321" w:rsidP="000C5321">
      <w:pPr>
        <w:pStyle w:val="Heading2"/>
      </w:pPr>
      <w:r>
        <w:t>Power control with multiple TAGs</w:t>
      </w:r>
    </w:p>
    <w:p w14:paraId="305C43E0" w14:textId="6AC0A6EE" w:rsidR="003256F9" w:rsidRDefault="000C5321" w:rsidP="000C5321">
      <w:pPr>
        <w:rPr>
          <w:lang w:val="en-GB"/>
        </w:rPr>
      </w:pPr>
      <w:r>
        <w:rPr>
          <w:lang w:val="en-GB"/>
        </w:rPr>
        <w:t>In case a UE is configured with more than one TAGs, different transmissions that are allocated with disjoint sets of symbols can overlap</w:t>
      </w:r>
      <w:r w:rsidR="003256F9">
        <w:rPr>
          <w:lang w:val="en-GB"/>
        </w:rPr>
        <w:t xml:space="preserve"> with each other</w:t>
      </w:r>
      <w:r>
        <w:rPr>
          <w:lang w:val="en-GB"/>
        </w:rPr>
        <w:t xml:space="preserve">. Likewise, two </w:t>
      </w:r>
      <w:r w:rsidR="003256F9">
        <w:rPr>
          <w:lang w:val="en-GB"/>
        </w:rPr>
        <w:t xml:space="preserve">consecutive </w:t>
      </w:r>
      <w:r>
        <w:rPr>
          <w:lang w:val="en-GB"/>
        </w:rPr>
        <w:t xml:space="preserve">slots </w:t>
      </w:r>
      <w:r w:rsidR="003256F9">
        <w:rPr>
          <w:lang w:val="en-GB"/>
        </w:rPr>
        <w:t>of different TAGs can also overlap with each other. This requires additional handling on the edge of transmissions and slots. For this purpose, we propose the following.</w:t>
      </w:r>
    </w:p>
    <w:p w14:paraId="7BD0F19E" w14:textId="4A0B0FCC" w:rsidR="003256F9" w:rsidRDefault="003256F9" w:rsidP="000C5321">
      <w:pPr>
        <w:rPr>
          <w:lang w:val="en-GB"/>
        </w:rPr>
      </w:pPr>
    </w:p>
    <w:p w14:paraId="2569D2D0" w14:textId="1AAAB461" w:rsidR="003256F9" w:rsidRPr="003256F9" w:rsidRDefault="003256F9" w:rsidP="000C5321">
      <w:pPr>
        <w:rPr>
          <w:b/>
          <w:i/>
          <w:lang w:val="en-GB"/>
        </w:rPr>
      </w:pPr>
      <w:r w:rsidRPr="003256F9">
        <w:rPr>
          <w:b/>
          <w:i/>
          <w:u w:val="single"/>
          <w:lang w:val="en-GB"/>
        </w:rPr>
        <w:t>Propos</w:t>
      </w:r>
      <w:r w:rsidR="0083103E">
        <w:rPr>
          <w:b/>
          <w:i/>
          <w:u w:val="single"/>
          <w:lang w:val="en-GB"/>
        </w:rPr>
        <w:t>al 5</w:t>
      </w:r>
      <w:r w:rsidRPr="003256F9">
        <w:rPr>
          <w:b/>
          <w:i/>
          <w:u w:val="single"/>
          <w:lang w:val="en-GB"/>
        </w:rPr>
        <w:t>:</w:t>
      </w:r>
      <w:r w:rsidRPr="003256F9">
        <w:rPr>
          <w:b/>
          <w:i/>
          <w:lang w:val="en-GB"/>
        </w:rPr>
        <w:t xml:space="preserve"> For a UE configured with more than one TAGs</w:t>
      </w:r>
    </w:p>
    <w:p w14:paraId="682C595C" w14:textId="36E58C2C" w:rsidR="003256F9" w:rsidRPr="003256F9" w:rsidRDefault="003256F9" w:rsidP="003256F9">
      <w:pPr>
        <w:pStyle w:val="ListParagraph"/>
        <w:numPr>
          <w:ilvl w:val="0"/>
          <w:numId w:val="26"/>
        </w:numPr>
        <w:rPr>
          <w:rFonts w:ascii="Times New Roman" w:hAnsi="Times New Roman"/>
          <w:b/>
          <w:i/>
          <w:sz w:val="20"/>
          <w:szCs w:val="20"/>
          <w:lang w:val="en-GB"/>
        </w:rPr>
      </w:pPr>
      <w:r w:rsidRPr="003256F9">
        <w:rPr>
          <w:rFonts w:ascii="Times New Roman" w:hAnsi="Times New Roman"/>
          <w:b/>
          <w:i/>
          <w:sz w:val="20"/>
          <w:szCs w:val="20"/>
          <w:lang w:val="en-GB"/>
        </w:rPr>
        <w:t>If there is an overlap across different slots due to different TAGs, earlier slot transmission(s) takes full priority over later slot</w:t>
      </w:r>
    </w:p>
    <w:p w14:paraId="086D1018" w14:textId="77777777" w:rsidR="003256F9" w:rsidRPr="003256F9" w:rsidRDefault="003256F9" w:rsidP="003256F9">
      <w:pPr>
        <w:pStyle w:val="ListParagraph"/>
        <w:numPr>
          <w:ilvl w:val="0"/>
          <w:numId w:val="26"/>
        </w:numPr>
        <w:rPr>
          <w:rFonts w:ascii="Times New Roman" w:hAnsi="Times New Roman"/>
          <w:b/>
          <w:i/>
          <w:sz w:val="20"/>
          <w:szCs w:val="20"/>
          <w:lang w:val="en-GB"/>
        </w:rPr>
      </w:pPr>
      <w:r w:rsidRPr="003256F9">
        <w:rPr>
          <w:rFonts w:ascii="Times New Roman" w:hAnsi="Times New Roman"/>
          <w:b/>
          <w:i/>
          <w:sz w:val="20"/>
          <w:szCs w:val="20"/>
          <w:lang w:val="en-GB"/>
        </w:rPr>
        <w:t>If any symbol overlap is shorter than the allowed power transient for either of the overlapped parts, the overlap is absorbed in the power transient</w:t>
      </w:r>
    </w:p>
    <w:p w14:paraId="5B0F0AE2" w14:textId="06409F3A" w:rsidR="003256F9" w:rsidRPr="003256F9" w:rsidRDefault="00F268A6" w:rsidP="003256F9">
      <w:pPr>
        <w:pStyle w:val="ListParagraph"/>
        <w:numPr>
          <w:ilvl w:val="0"/>
          <w:numId w:val="26"/>
        </w:numPr>
        <w:rPr>
          <w:rFonts w:ascii="Times New Roman" w:hAnsi="Times New Roman"/>
          <w:b/>
          <w:i/>
          <w:sz w:val="20"/>
          <w:szCs w:val="20"/>
          <w:lang w:val="en-GB"/>
        </w:rPr>
      </w:pPr>
      <w:r>
        <w:rPr>
          <w:rFonts w:ascii="Times New Roman" w:hAnsi="Times New Roman"/>
          <w:b/>
          <w:i/>
          <w:sz w:val="20"/>
          <w:szCs w:val="20"/>
          <w:lang w:val="en-GB"/>
        </w:rPr>
        <w:t>If</w:t>
      </w:r>
      <w:r w:rsidR="003256F9" w:rsidRPr="003256F9">
        <w:rPr>
          <w:rFonts w:ascii="Times New Roman" w:hAnsi="Times New Roman"/>
          <w:b/>
          <w:i/>
          <w:sz w:val="20"/>
          <w:szCs w:val="20"/>
          <w:lang w:val="en-GB"/>
        </w:rPr>
        <w:t xml:space="preserve"> the symbol overlap is larger than the allowed power transient, the power scaling/dropping is up to the UE implementation</w:t>
      </w:r>
    </w:p>
    <w:p w14:paraId="6B2179B5" w14:textId="45C264B1" w:rsidR="003256F9" w:rsidRPr="003256F9" w:rsidRDefault="003256F9" w:rsidP="003256F9">
      <w:pPr>
        <w:pStyle w:val="ListParagraph"/>
        <w:numPr>
          <w:ilvl w:val="1"/>
          <w:numId w:val="26"/>
        </w:numPr>
        <w:ind w:left="1080"/>
        <w:rPr>
          <w:rFonts w:ascii="Times New Roman" w:hAnsi="Times New Roman"/>
          <w:b/>
          <w:i/>
          <w:sz w:val="20"/>
          <w:szCs w:val="20"/>
          <w:lang w:val="en-GB"/>
        </w:rPr>
      </w:pPr>
      <w:r w:rsidRPr="003256F9">
        <w:rPr>
          <w:rFonts w:ascii="Times New Roman" w:hAnsi="Times New Roman"/>
          <w:b/>
          <w:i/>
          <w:sz w:val="20"/>
          <w:szCs w:val="20"/>
          <w:lang w:val="en-GB"/>
        </w:rPr>
        <w:t>UE is allowed to drop the first symbol(s) or last symbol(s) of a transmission of an equal or lower priority transmission in this case</w:t>
      </w:r>
    </w:p>
    <w:p w14:paraId="7E470D63" w14:textId="77777777" w:rsidR="003256F9" w:rsidRPr="003256F9" w:rsidRDefault="003256F9" w:rsidP="003256F9">
      <w:pPr>
        <w:pStyle w:val="ListParagraph"/>
        <w:numPr>
          <w:ilvl w:val="0"/>
          <w:numId w:val="27"/>
        </w:numPr>
        <w:ind w:left="1080"/>
        <w:rPr>
          <w:rFonts w:ascii="Times New Roman" w:hAnsi="Times New Roman"/>
          <w:b/>
          <w:i/>
          <w:sz w:val="20"/>
          <w:szCs w:val="20"/>
          <w:lang w:val="en-GB"/>
        </w:rPr>
      </w:pPr>
      <w:r w:rsidRPr="003256F9">
        <w:rPr>
          <w:rFonts w:ascii="Times New Roman" w:hAnsi="Times New Roman"/>
          <w:b/>
          <w:i/>
          <w:sz w:val="20"/>
          <w:szCs w:val="20"/>
          <w:lang w:val="en-GB"/>
        </w:rPr>
        <w:t>Alternatively, the UE is allowed to scale down the power of lower or equal priority transmissions</w:t>
      </w:r>
    </w:p>
    <w:p w14:paraId="430C2DF5" w14:textId="06D979E4" w:rsidR="003256F9" w:rsidRPr="003256F9" w:rsidRDefault="003256F9" w:rsidP="003256F9">
      <w:pPr>
        <w:pStyle w:val="ListParagraph"/>
        <w:numPr>
          <w:ilvl w:val="0"/>
          <w:numId w:val="27"/>
        </w:numPr>
        <w:ind w:left="1080"/>
        <w:rPr>
          <w:rFonts w:ascii="Times New Roman" w:hAnsi="Times New Roman"/>
          <w:b/>
          <w:i/>
          <w:sz w:val="20"/>
          <w:szCs w:val="20"/>
          <w:lang w:val="en-GB"/>
        </w:rPr>
      </w:pPr>
      <w:r w:rsidRPr="003256F9">
        <w:rPr>
          <w:rFonts w:ascii="Times New Roman" w:hAnsi="Times New Roman"/>
          <w:b/>
          <w:i/>
          <w:sz w:val="20"/>
          <w:szCs w:val="20"/>
          <w:lang w:val="en-GB"/>
        </w:rPr>
        <w:t>If the UE dropped any of the DMRS symbols, it is allowed to drop the full transmission of the channel</w:t>
      </w:r>
    </w:p>
    <w:p w14:paraId="7A5A88AB" w14:textId="77777777" w:rsidR="000C5321" w:rsidRPr="000C5321" w:rsidRDefault="000C5321" w:rsidP="000C5321"/>
    <w:p w14:paraId="332EDD29" w14:textId="506A9A45" w:rsidR="00522D49" w:rsidRDefault="003256F9" w:rsidP="003256F9">
      <w:pPr>
        <w:pStyle w:val="Heading1"/>
      </w:pPr>
      <w:r>
        <w:t>Conclusions</w:t>
      </w:r>
    </w:p>
    <w:p w14:paraId="24AD2BE6" w14:textId="7EA18090" w:rsidR="003256F9" w:rsidRDefault="003256F9" w:rsidP="003256F9">
      <w:pPr>
        <w:rPr>
          <w:lang w:val="en-GB"/>
        </w:rPr>
      </w:pPr>
      <w:r>
        <w:rPr>
          <w:lang w:val="en-GB"/>
        </w:rPr>
        <w:t>In this document, we have discussed power control for NR CA and made following proposals.</w:t>
      </w:r>
    </w:p>
    <w:p w14:paraId="1B3530DC" w14:textId="77777777" w:rsidR="003256F9" w:rsidRPr="00AB6ED4" w:rsidRDefault="003256F9" w:rsidP="003256F9">
      <w:pPr>
        <w:pStyle w:val="Default"/>
        <w:rPr>
          <w:b/>
          <w:i/>
          <w:sz w:val="20"/>
          <w:szCs w:val="20"/>
          <w:lang w:val="en-GB"/>
        </w:rPr>
      </w:pPr>
      <w:r w:rsidRPr="00AB6ED4">
        <w:rPr>
          <w:b/>
          <w:i/>
          <w:sz w:val="20"/>
          <w:szCs w:val="20"/>
          <w:u w:val="single"/>
          <w:lang w:val="en-GB"/>
        </w:rPr>
        <w:t>Proposal 1:</w:t>
      </w:r>
      <w:r w:rsidRPr="00AB6ED4">
        <w:rPr>
          <w:b/>
          <w:i/>
          <w:color w:val="auto"/>
          <w:sz w:val="20"/>
          <w:szCs w:val="20"/>
          <w:lang w:eastAsia="en-US"/>
        </w:rPr>
        <w:t xml:space="preserve"> </w:t>
      </w:r>
      <w:r w:rsidRPr="00AB6ED4">
        <w:rPr>
          <w:b/>
          <w:i/>
          <w:sz w:val="20"/>
          <w:szCs w:val="20"/>
          <w:lang w:val="en-GB"/>
        </w:rPr>
        <w:t>Support of overlapping transmissions within a TAG that don’t start at the same time or have different durations is a UE capability to be reported per band/band combination.</w:t>
      </w:r>
    </w:p>
    <w:p w14:paraId="62A0352C" w14:textId="6C7787E1" w:rsidR="003256F9" w:rsidRDefault="003256F9" w:rsidP="003256F9">
      <w:pPr>
        <w:pStyle w:val="Default"/>
        <w:numPr>
          <w:ilvl w:val="0"/>
          <w:numId w:val="11"/>
        </w:numPr>
        <w:rPr>
          <w:b/>
          <w:i/>
          <w:sz w:val="20"/>
          <w:szCs w:val="20"/>
          <w:lang w:val="en-GB"/>
        </w:rPr>
      </w:pPr>
      <w:r w:rsidRPr="00AB6ED4">
        <w:rPr>
          <w:b/>
          <w:i/>
          <w:sz w:val="20"/>
          <w:szCs w:val="20"/>
          <w:lang w:val="en-GB"/>
        </w:rPr>
        <w:t>In case of PUCCH/PUSCH frequency hopping, necessary power reduction, if there is any, is considered.</w:t>
      </w:r>
    </w:p>
    <w:p w14:paraId="40A4B408" w14:textId="11BB0BB6" w:rsidR="0083103E" w:rsidRDefault="0083103E" w:rsidP="0083103E">
      <w:pPr>
        <w:pStyle w:val="Default"/>
        <w:rPr>
          <w:b/>
          <w:i/>
          <w:sz w:val="20"/>
          <w:szCs w:val="20"/>
          <w:lang w:val="en-GB"/>
        </w:rPr>
      </w:pPr>
    </w:p>
    <w:p w14:paraId="1A88F102" w14:textId="77777777" w:rsidR="00AE1841" w:rsidRPr="00750C3E" w:rsidRDefault="00AE1841" w:rsidP="00AE1841">
      <w:pPr>
        <w:rPr>
          <w:b/>
          <w:i/>
          <w:lang w:val="en-GB"/>
        </w:rPr>
      </w:pPr>
      <w:r>
        <w:rPr>
          <w:b/>
          <w:i/>
          <w:u w:val="single"/>
          <w:lang w:val="en-GB"/>
        </w:rPr>
        <w:t>Proposal 2</w:t>
      </w:r>
      <w:r w:rsidRPr="00750C3E">
        <w:rPr>
          <w:b/>
          <w:i/>
          <w:u w:val="single"/>
          <w:lang w:val="en-GB"/>
        </w:rPr>
        <w:t>:</w:t>
      </w:r>
      <w:r w:rsidRPr="00750C3E">
        <w:rPr>
          <w:b/>
          <w:i/>
          <w:lang w:val="en-GB"/>
        </w:rPr>
        <w:t xml:space="preserve"> </w:t>
      </w:r>
      <w:r>
        <w:rPr>
          <w:b/>
          <w:i/>
          <w:lang w:val="en-GB"/>
        </w:rPr>
        <w:t>Define t</w:t>
      </w:r>
      <w:r w:rsidRPr="00750C3E">
        <w:rPr>
          <w:b/>
          <w:i/>
          <w:lang w:val="en-GB"/>
        </w:rPr>
        <w:t xml:space="preserve">he power control determination period (PCDP) of an UL transmission </w:t>
      </w:r>
      <w:r>
        <w:rPr>
          <w:b/>
          <w:i/>
          <w:lang w:val="en-GB"/>
        </w:rPr>
        <w:t>as below</w:t>
      </w:r>
      <w:r w:rsidRPr="00750C3E">
        <w:rPr>
          <w:b/>
          <w:i/>
          <w:lang w:val="en-GB"/>
        </w:rPr>
        <w:t xml:space="preserve"> </w:t>
      </w:r>
    </w:p>
    <w:p w14:paraId="12929FDD" w14:textId="77777777" w:rsidR="00AE1841" w:rsidRPr="00750C3E" w:rsidRDefault="00AE1841" w:rsidP="00AE1841">
      <w:pPr>
        <w:pStyle w:val="ListParagraph"/>
        <w:numPr>
          <w:ilvl w:val="0"/>
          <w:numId w:val="17"/>
        </w:numPr>
        <w:rPr>
          <w:rFonts w:ascii="Times New Roman" w:hAnsi="Times New Roman"/>
          <w:b/>
          <w:i/>
          <w:lang w:val="en-GB"/>
        </w:rPr>
      </w:pPr>
      <w:r w:rsidRPr="00750C3E">
        <w:rPr>
          <w:rFonts w:ascii="Times New Roman" w:hAnsi="Times New Roman"/>
          <w:b/>
          <w:i/>
          <w:lang w:val="en-GB"/>
        </w:rPr>
        <w:t>for self-contained PUCCH/PUSCH</w:t>
      </w:r>
      <w:r>
        <w:rPr>
          <w:rFonts w:ascii="Times New Roman" w:hAnsi="Times New Roman"/>
          <w:b/>
          <w:i/>
          <w:lang w:val="en-GB"/>
        </w:rPr>
        <w:t xml:space="preserve">, the PCDP is the duration </w:t>
      </w:r>
      <w:r w:rsidRPr="00750C3E">
        <w:rPr>
          <w:rFonts w:ascii="Times New Roman" w:hAnsi="Times New Roman"/>
          <w:b/>
          <w:i/>
          <w:lang w:val="en-GB"/>
        </w:rPr>
        <w:t xml:space="preserve">from the end of the </w:t>
      </w:r>
      <w:r>
        <w:rPr>
          <w:rFonts w:ascii="Times New Roman" w:hAnsi="Times New Roman"/>
          <w:b/>
          <w:i/>
          <w:lang w:val="en-GB"/>
        </w:rPr>
        <w:t>associated grant</w:t>
      </w:r>
      <w:r w:rsidRPr="00750C3E">
        <w:rPr>
          <w:rFonts w:ascii="Times New Roman" w:hAnsi="Times New Roman"/>
          <w:b/>
          <w:i/>
          <w:lang w:val="en-GB"/>
        </w:rPr>
        <w:t xml:space="preserve"> to the beginning of the transmission, and</w:t>
      </w:r>
    </w:p>
    <w:p w14:paraId="1E0B955D" w14:textId="77777777" w:rsidR="00AE1841" w:rsidRPr="00750C3E" w:rsidRDefault="00AE1841" w:rsidP="00AE1841">
      <w:pPr>
        <w:pStyle w:val="ListParagraph"/>
        <w:numPr>
          <w:ilvl w:val="0"/>
          <w:numId w:val="17"/>
        </w:numPr>
        <w:rPr>
          <w:rFonts w:ascii="Times New Roman" w:hAnsi="Times New Roman"/>
          <w:b/>
          <w:i/>
          <w:lang w:val="en-GB"/>
        </w:rPr>
      </w:pPr>
      <w:r>
        <w:rPr>
          <w:rFonts w:ascii="Times New Roman" w:hAnsi="Times New Roman"/>
          <w:b/>
          <w:i/>
          <w:lang w:val="en-GB"/>
        </w:rPr>
        <w:t xml:space="preserve">for all other cases with UE capability K2=1, the PCDP is the duration </w:t>
      </w:r>
      <w:r w:rsidRPr="00750C3E">
        <w:rPr>
          <w:rFonts w:ascii="Times New Roman" w:hAnsi="Times New Roman"/>
          <w:b/>
          <w:i/>
          <w:lang w:val="en-GB"/>
        </w:rPr>
        <w:t>from the end of the control region</w:t>
      </w:r>
      <w:r>
        <w:rPr>
          <w:rFonts w:ascii="Times New Roman" w:hAnsi="Times New Roman"/>
          <w:b/>
          <w:i/>
          <w:lang w:val="en-GB"/>
        </w:rPr>
        <w:t xml:space="preserve"> of the slot</w:t>
      </w:r>
      <w:r w:rsidRPr="00472B80">
        <w:rPr>
          <w:rFonts w:ascii="Times New Roman" w:hAnsi="Times New Roman"/>
          <w:b/>
          <w:i/>
          <w:lang w:val="en-GB"/>
        </w:rPr>
        <w:t xml:space="preserve"> </w:t>
      </w:r>
      <w:r w:rsidRPr="00750C3E">
        <w:rPr>
          <w:rFonts w:ascii="Times New Roman" w:hAnsi="Times New Roman"/>
          <w:b/>
          <w:i/>
          <w:lang w:val="en-GB"/>
        </w:rPr>
        <w:t>immediately prior to the slot of transmission to the end of the slot immediately prior to the slot of transmission.</w:t>
      </w:r>
    </w:p>
    <w:p w14:paraId="39FE7F1D" w14:textId="77777777" w:rsidR="0083103E" w:rsidRDefault="0083103E" w:rsidP="0083103E">
      <w:pPr>
        <w:pStyle w:val="Default"/>
        <w:rPr>
          <w:b/>
          <w:i/>
          <w:sz w:val="20"/>
          <w:szCs w:val="20"/>
          <w:lang w:val="en-GB"/>
        </w:rPr>
      </w:pPr>
    </w:p>
    <w:p w14:paraId="1D49554C" w14:textId="55998BF7" w:rsidR="003256F9" w:rsidRDefault="003256F9" w:rsidP="0083103E">
      <w:pPr>
        <w:pStyle w:val="Default"/>
        <w:rPr>
          <w:b/>
          <w:i/>
          <w:sz w:val="20"/>
          <w:szCs w:val="20"/>
          <w:lang w:val="en-GB"/>
        </w:rPr>
      </w:pPr>
    </w:p>
    <w:p w14:paraId="20C1DC5D" w14:textId="33FEFBE9" w:rsidR="0083103E" w:rsidRPr="000C5321" w:rsidRDefault="0083103E" w:rsidP="0083103E">
      <w:pPr>
        <w:rPr>
          <w:b/>
          <w:i/>
        </w:rPr>
      </w:pPr>
      <w:r w:rsidRPr="000C5321">
        <w:rPr>
          <w:b/>
          <w:i/>
          <w:u w:val="single"/>
          <w:lang w:val="en-GB"/>
        </w:rPr>
        <w:t xml:space="preserve">Proposal </w:t>
      </w:r>
      <w:r>
        <w:rPr>
          <w:b/>
          <w:i/>
          <w:u w:val="single"/>
          <w:lang w:val="en-GB"/>
        </w:rPr>
        <w:t>3</w:t>
      </w:r>
      <w:r w:rsidRPr="000C5321">
        <w:rPr>
          <w:b/>
          <w:i/>
          <w:u w:val="single"/>
          <w:lang w:val="en-GB"/>
        </w:rPr>
        <w:t>:</w:t>
      </w:r>
      <w:r w:rsidRPr="000C5321">
        <w:rPr>
          <w:b/>
          <w:i/>
        </w:rPr>
        <w:t xml:space="preserve"> For NR CA power control</w:t>
      </w:r>
    </w:p>
    <w:p w14:paraId="482F8DB0" w14:textId="77777777" w:rsidR="0083103E" w:rsidRPr="000C5321" w:rsidRDefault="0083103E" w:rsidP="0083103E">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transmissions of different numerology the PCDP fully or partially overlaps</w:t>
      </w:r>
    </w:p>
    <w:p w14:paraId="635B71BA" w14:textId="77777777" w:rsidR="0083103E" w:rsidRPr="000C5321" w:rsidRDefault="0083103E" w:rsidP="0083103E">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Channel prioritization between the different numerologies is up to UE implementation</w:t>
      </w:r>
    </w:p>
    <w:p w14:paraId="4626CFC6" w14:textId="77777777" w:rsidR="0083103E" w:rsidRPr="000C5321" w:rsidRDefault="0083103E" w:rsidP="0083103E">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different numerology the PCDP is fully disjoint</w:t>
      </w:r>
    </w:p>
    <w:p w14:paraId="59FDCBA6" w14:textId="77777777" w:rsidR="0083103E" w:rsidRPr="000C5321" w:rsidRDefault="0083103E" w:rsidP="0083103E">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The transmission corresponding to the earlier PCDP is considered ongoing and has higher priority</w:t>
      </w:r>
    </w:p>
    <w:p w14:paraId="787A8EA5" w14:textId="77777777" w:rsidR="0083103E" w:rsidRPr="000C5321" w:rsidRDefault="0083103E" w:rsidP="0083103E">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the same numerology the PCDP partially overlaps</w:t>
      </w:r>
    </w:p>
    <w:p w14:paraId="10BF4D00" w14:textId="77777777" w:rsidR="0083103E" w:rsidRPr="000C5321" w:rsidRDefault="0083103E" w:rsidP="0083103E">
      <w:pPr>
        <w:pStyle w:val="ListParagraph"/>
        <w:numPr>
          <w:ilvl w:val="0"/>
          <w:numId w:val="21"/>
        </w:numPr>
        <w:ind w:left="1080"/>
        <w:rPr>
          <w:rFonts w:ascii="Times New Roman" w:hAnsi="Times New Roman"/>
          <w:b/>
          <w:i/>
          <w:sz w:val="20"/>
          <w:szCs w:val="20"/>
          <w:lang w:val="en-GB"/>
        </w:rPr>
      </w:pPr>
      <w:r w:rsidRPr="000C5321">
        <w:rPr>
          <w:rFonts w:ascii="Times New Roman" w:hAnsi="Times New Roman"/>
          <w:b/>
          <w:i/>
          <w:sz w:val="20"/>
          <w:szCs w:val="20"/>
          <w:lang w:val="en-GB"/>
        </w:rPr>
        <w:t xml:space="preserve"> Channel prioritization between the different numerologies is up to UE implementation</w:t>
      </w:r>
    </w:p>
    <w:p w14:paraId="15F9B29F" w14:textId="77777777" w:rsidR="0083103E" w:rsidRPr="000C5321" w:rsidRDefault="0083103E" w:rsidP="0083103E">
      <w:pPr>
        <w:pStyle w:val="ListParagraph"/>
        <w:numPr>
          <w:ilvl w:val="0"/>
          <w:numId w:val="20"/>
        </w:numPr>
        <w:ind w:left="720"/>
        <w:rPr>
          <w:rFonts w:ascii="Times New Roman" w:hAnsi="Times New Roman"/>
          <w:b/>
          <w:i/>
          <w:sz w:val="20"/>
          <w:szCs w:val="20"/>
          <w:lang w:val="en-GB"/>
        </w:rPr>
      </w:pPr>
      <w:r w:rsidRPr="000C5321">
        <w:rPr>
          <w:rFonts w:ascii="Times New Roman" w:hAnsi="Times New Roman"/>
          <w:b/>
          <w:i/>
          <w:sz w:val="20"/>
          <w:szCs w:val="20"/>
          <w:lang w:val="en-GB"/>
        </w:rPr>
        <w:t>If for two transmission of the same numerology the PCDP is identical and fully overlaps</w:t>
      </w:r>
    </w:p>
    <w:p w14:paraId="27464B64" w14:textId="77777777" w:rsidR="0083103E" w:rsidRPr="000C5321" w:rsidRDefault="0083103E" w:rsidP="0083103E">
      <w:pPr>
        <w:pStyle w:val="ListParagraph"/>
        <w:numPr>
          <w:ilvl w:val="1"/>
          <w:numId w:val="20"/>
        </w:numPr>
        <w:ind w:left="1080"/>
        <w:rPr>
          <w:rFonts w:ascii="Times New Roman" w:hAnsi="Times New Roman"/>
          <w:b/>
          <w:i/>
          <w:sz w:val="20"/>
          <w:szCs w:val="20"/>
          <w:lang w:val="en-GB"/>
        </w:rPr>
      </w:pPr>
      <w:r w:rsidRPr="000C5321">
        <w:rPr>
          <w:rFonts w:ascii="Times New Roman" w:hAnsi="Times New Roman"/>
          <w:b/>
          <w:i/>
          <w:sz w:val="20"/>
          <w:szCs w:val="20"/>
          <w:lang w:val="en-GB"/>
        </w:rPr>
        <w:t>Power control is handled jointly</w:t>
      </w:r>
    </w:p>
    <w:p w14:paraId="4EC6F5B2" w14:textId="77777777" w:rsidR="0083103E" w:rsidRDefault="0083103E" w:rsidP="0083103E">
      <w:pPr>
        <w:rPr>
          <w:lang w:val="en-GB"/>
        </w:rPr>
      </w:pPr>
      <w:r>
        <w:rPr>
          <w:lang w:val="en-GB"/>
        </w:rPr>
        <w:t xml:space="preserve">       </w:t>
      </w:r>
    </w:p>
    <w:p w14:paraId="6154308E" w14:textId="079E5085" w:rsidR="0083103E" w:rsidRPr="003075BF" w:rsidRDefault="0083103E" w:rsidP="0083103E">
      <w:pPr>
        <w:rPr>
          <w:b/>
          <w:i/>
          <w:lang w:val="en-GB"/>
        </w:rPr>
      </w:pPr>
      <w:r>
        <w:rPr>
          <w:b/>
          <w:i/>
          <w:u w:val="single"/>
          <w:lang w:val="en-GB"/>
        </w:rPr>
        <w:t>Proposal 4</w:t>
      </w:r>
      <w:r w:rsidRPr="003075BF">
        <w:rPr>
          <w:b/>
          <w:i/>
          <w:u w:val="single"/>
          <w:lang w:val="en-GB"/>
        </w:rPr>
        <w:t>:</w:t>
      </w:r>
      <w:r w:rsidRPr="003075BF">
        <w:rPr>
          <w:b/>
          <w:i/>
          <w:lang w:val="en-GB"/>
        </w:rPr>
        <w:t xml:space="preserve"> </w:t>
      </w:r>
      <w:r>
        <w:rPr>
          <w:b/>
          <w:i/>
          <w:lang w:val="en-GB"/>
        </w:rPr>
        <w:t xml:space="preserve"> For NR CA power control, power allocation and scaling follows the following steps and principle </w:t>
      </w:r>
    </w:p>
    <w:p w14:paraId="75D7A846" w14:textId="77777777" w:rsidR="0083103E" w:rsidRPr="003075BF" w:rsidRDefault="0083103E" w:rsidP="0083103E">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Transmissions are added one-by-one based on priority order, highest priority first</w:t>
      </w:r>
    </w:p>
    <w:p w14:paraId="6D5F8CD3" w14:textId="77777777" w:rsidR="0083103E" w:rsidRPr="003075BF" w:rsidRDefault="0083103E" w:rsidP="0083103E">
      <w:pPr>
        <w:pStyle w:val="ListParagraph"/>
        <w:numPr>
          <w:ilvl w:val="1"/>
          <w:numId w:val="25"/>
        </w:numPr>
        <w:ind w:left="1080"/>
        <w:rPr>
          <w:rFonts w:ascii="Times New Roman" w:hAnsi="Times New Roman"/>
          <w:b/>
          <w:i/>
          <w:sz w:val="20"/>
          <w:szCs w:val="20"/>
          <w:lang w:val="en-GB"/>
        </w:rPr>
      </w:pPr>
      <w:r w:rsidRPr="003075BF">
        <w:rPr>
          <w:rFonts w:ascii="Times New Roman" w:hAnsi="Times New Roman"/>
          <w:b/>
          <w:i/>
          <w:sz w:val="20"/>
          <w:szCs w:val="20"/>
          <w:lang w:val="en-GB"/>
        </w:rPr>
        <w:t>Every transmission is scaled to fit in available leftover power</w:t>
      </w:r>
    </w:p>
    <w:p w14:paraId="05AA5D30" w14:textId="77777777" w:rsidR="0083103E" w:rsidRPr="003075BF" w:rsidRDefault="0083103E" w:rsidP="0083103E">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Available leftover power is a function of symbol index but it is assumed that all symbols of one transmission have the same power after scaling</w:t>
      </w:r>
    </w:p>
    <w:p w14:paraId="73C5A884" w14:textId="77777777" w:rsidR="0083103E" w:rsidRPr="003075BF" w:rsidRDefault="0083103E" w:rsidP="0083103E">
      <w:pPr>
        <w:pStyle w:val="ListParagraph"/>
        <w:numPr>
          <w:ilvl w:val="0"/>
          <w:numId w:val="24"/>
        </w:numPr>
        <w:rPr>
          <w:rFonts w:ascii="Times New Roman" w:hAnsi="Times New Roman"/>
          <w:b/>
          <w:i/>
          <w:sz w:val="20"/>
          <w:szCs w:val="20"/>
          <w:lang w:val="en-GB"/>
        </w:rPr>
      </w:pPr>
      <w:r w:rsidRPr="003075BF">
        <w:rPr>
          <w:rFonts w:ascii="Times New Roman" w:hAnsi="Times New Roman"/>
          <w:b/>
          <w:i/>
          <w:sz w:val="20"/>
          <w:szCs w:val="20"/>
          <w:lang w:val="en-GB"/>
        </w:rPr>
        <w:t>When there are multiple transmissions with same priority with non-identical transmission durations</w:t>
      </w:r>
    </w:p>
    <w:p w14:paraId="7D38139E" w14:textId="13095F33" w:rsidR="0083103E" w:rsidRPr="0083103E" w:rsidRDefault="0083103E" w:rsidP="0083103E">
      <w:pPr>
        <w:pStyle w:val="ListParagraph"/>
        <w:numPr>
          <w:ilvl w:val="1"/>
          <w:numId w:val="26"/>
        </w:numPr>
        <w:ind w:left="1080"/>
        <w:rPr>
          <w:rFonts w:ascii="Times New Roman" w:hAnsi="Times New Roman"/>
          <w:b/>
          <w:i/>
          <w:sz w:val="20"/>
          <w:szCs w:val="20"/>
          <w:lang w:val="en-GB"/>
        </w:rPr>
      </w:pPr>
      <w:r w:rsidRPr="003075BF">
        <w:rPr>
          <w:rFonts w:ascii="Times New Roman" w:hAnsi="Times New Roman"/>
          <w:b/>
          <w:i/>
          <w:sz w:val="20"/>
          <w:szCs w:val="20"/>
          <w:lang w:val="en-GB"/>
        </w:rPr>
        <w:t xml:space="preserve">Power scaling/dropping is up to UE   </w:t>
      </w:r>
    </w:p>
    <w:p w14:paraId="7E9B59A5" w14:textId="1BE489A1" w:rsidR="0083103E" w:rsidRDefault="0083103E" w:rsidP="0083103E">
      <w:pPr>
        <w:pStyle w:val="Default"/>
        <w:rPr>
          <w:b/>
          <w:i/>
          <w:sz w:val="20"/>
          <w:szCs w:val="20"/>
          <w:lang w:val="en-GB"/>
        </w:rPr>
      </w:pPr>
    </w:p>
    <w:p w14:paraId="29809DFC" w14:textId="77777777" w:rsidR="0083103E" w:rsidRPr="00AB6ED4" w:rsidRDefault="0083103E" w:rsidP="0083103E">
      <w:pPr>
        <w:pStyle w:val="Default"/>
        <w:rPr>
          <w:b/>
          <w:i/>
          <w:sz w:val="20"/>
          <w:szCs w:val="20"/>
          <w:lang w:val="en-GB"/>
        </w:rPr>
      </w:pPr>
    </w:p>
    <w:p w14:paraId="6EAAB086" w14:textId="1689727F" w:rsidR="003256F9" w:rsidRPr="003256F9" w:rsidRDefault="003256F9" w:rsidP="003256F9">
      <w:pPr>
        <w:rPr>
          <w:b/>
          <w:i/>
          <w:lang w:val="en-GB"/>
        </w:rPr>
      </w:pPr>
      <w:r w:rsidRPr="003256F9">
        <w:rPr>
          <w:b/>
          <w:i/>
          <w:u w:val="single"/>
          <w:lang w:val="en-GB"/>
        </w:rPr>
        <w:t>Propos</w:t>
      </w:r>
      <w:r w:rsidR="0083103E">
        <w:rPr>
          <w:b/>
          <w:i/>
          <w:u w:val="single"/>
          <w:lang w:val="en-GB"/>
        </w:rPr>
        <w:t>al 5</w:t>
      </w:r>
      <w:r w:rsidRPr="003256F9">
        <w:rPr>
          <w:b/>
          <w:i/>
          <w:u w:val="single"/>
          <w:lang w:val="en-GB"/>
        </w:rPr>
        <w:t>:</w:t>
      </w:r>
      <w:r w:rsidRPr="003256F9">
        <w:rPr>
          <w:b/>
          <w:i/>
          <w:lang w:val="en-GB"/>
        </w:rPr>
        <w:t xml:space="preserve"> For a UE configured with more than one TAGs</w:t>
      </w:r>
    </w:p>
    <w:p w14:paraId="2542F586" w14:textId="77777777" w:rsidR="003256F9" w:rsidRPr="003256F9" w:rsidRDefault="003256F9" w:rsidP="003256F9">
      <w:pPr>
        <w:pStyle w:val="ListParagraph"/>
        <w:numPr>
          <w:ilvl w:val="0"/>
          <w:numId w:val="26"/>
        </w:numPr>
        <w:rPr>
          <w:rFonts w:ascii="Times New Roman" w:hAnsi="Times New Roman"/>
          <w:b/>
          <w:i/>
          <w:sz w:val="20"/>
          <w:szCs w:val="20"/>
          <w:lang w:val="en-GB"/>
        </w:rPr>
      </w:pPr>
      <w:r w:rsidRPr="003256F9">
        <w:rPr>
          <w:rFonts w:ascii="Times New Roman" w:hAnsi="Times New Roman"/>
          <w:b/>
          <w:i/>
          <w:sz w:val="20"/>
          <w:szCs w:val="20"/>
          <w:lang w:val="en-GB"/>
        </w:rPr>
        <w:t>If there is an overlap across different slots due to different TAGs, earlier slot transmission(s) takes full priority over later slot</w:t>
      </w:r>
    </w:p>
    <w:p w14:paraId="14D1DE70" w14:textId="77777777" w:rsidR="003256F9" w:rsidRPr="003256F9" w:rsidRDefault="003256F9" w:rsidP="003256F9">
      <w:pPr>
        <w:pStyle w:val="ListParagraph"/>
        <w:numPr>
          <w:ilvl w:val="0"/>
          <w:numId w:val="26"/>
        </w:numPr>
        <w:rPr>
          <w:rFonts w:ascii="Times New Roman" w:hAnsi="Times New Roman"/>
          <w:b/>
          <w:i/>
          <w:sz w:val="20"/>
          <w:szCs w:val="20"/>
          <w:lang w:val="en-GB"/>
        </w:rPr>
      </w:pPr>
      <w:r w:rsidRPr="003256F9">
        <w:rPr>
          <w:rFonts w:ascii="Times New Roman" w:hAnsi="Times New Roman"/>
          <w:b/>
          <w:i/>
          <w:sz w:val="20"/>
          <w:szCs w:val="20"/>
          <w:lang w:val="en-GB"/>
        </w:rPr>
        <w:t>If any symbol overlap is shorter than the allowed power transient for either of the overlapped parts, the overlap is absorbed in the power transient</w:t>
      </w:r>
    </w:p>
    <w:p w14:paraId="524F3079" w14:textId="77777777" w:rsidR="003256F9" w:rsidRPr="003256F9" w:rsidRDefault="003256F9" w:rsidP="003256F9">
      <w:pPr>
        <w:pStyle w:val="ListParagraph"/>
        <w:numPr>
          <w:ilvl w:val="0"/>
          <w:numId w:val="26"/>
        </w:numPr>
        <w:rPr>
          <w:rFonts w:ascii="Times New Roman" w:hAnsi="Times New Roman"/>
          <w:b/>
          <w:i/>
          <w:sz w:val="20"/>
          <w:szCs w:val="20"/>
          <w:lang w:val="en-GB"/>
        </w:rPr>
      </w:pPr>
      <w:r w:rsidRPr="003256F9">
        <w:rPr>
          <w:rFonts w:ascii="Times New Roman" w:hAnsi="Times New Roman"/>
          <w:b/>
          <w:i/>
          <w:sz w:val="20"/>
          <w:szCs w:val="20"/>
          <w:lang w:val="en-GB"/>
        </w:rPr>
        <w:t>In the symbol overlap is larger than the allowed power transient, the power scaling/dropping is up to the UE implementation</w:t>
      </w:r>
    </w:p>
    <w:p w14:paraId="43037E3B" w14:textId="77777777" w:rsidR="003256F9" w:rsidRPr="003256F9" w:rsidRDefault="003256F9" w:rsidP="003256F9">
      <w:pPr>
        <w:pStyle w:val="ListParagraph"/>
        <w:numPr>
          <w:ilvl w:val="1"/>
          <w:numId w:val="26"/>
        </w:numPr>
        <w:ind w:left="1080"/>
        <w:rPr>
          <w:rFonts w:ascii="Times New Roman" w:hAnsi="Times New Roman"/>
          <w:b/>
          <w:i/>
          <w:sz w:val="20"/>
          <w:szCs w:val="20"/>
          <w:lang w:val="en-GB"/>
        </w:rPr>
      </w:pPr>
      <w:r w:rsidRPr="003256F9">
        <w:rPr>
          <w:rFonts w:ascii="Times New Roman" w:hAnsi="Times New Roman"/>
          <w:b/>
          <w:i/>
          <w:sz w:val="20"/>
          <w:szCs w:val="20"/>
          <w:lang w:val="en-GB"/>
        </w:rPr>
        <w:t>UE is allowed to drop the first symbol(s) or last symbol(s) of a transmission of an equal or lower priority transmission in this case</w:t>
      </w:r>
    </w:p>
    <w:p w14:paraId="780E62F7" w14:textId="77777777" w:rsidR="003256F9" w:rsidRPr="003256F9" w:rsidRDefault="003256F9" w:rsidP="003256F9">
      <w:pPr>
        <w:pStyle w:val="ListParagraph"/>
        <w:numPr>
          <w:ilvl w:val="0"/>
          <w:numId w:val="27"/>
        </w:numPr>
        <w:ind w:left="1080"/>
        <w:rPr>
          <w:rFonts w:ascii="Times New Roman" w:hAnsi="Times New Roman"/>
          <w:b/>
          <w:i/>
          <w:sz w:val="20"/>
          <w:szCs w:val="20"/>
          <w:lang w:val="en-GB"/>
        </w:rPr>
      </w:pPr>
      <w:r w:rsidRPr="003256F9">
        <w:rPr>
          <w:rFonts w:ascii="Times New Roman" w:hAnsi="Times New Roman"/>
          <w:b/>
          <w:i/>
          <w:sz w:val="20"/>
          <w:szCs w:val="20"/>
          <w:lang w:val="en-GB"/>
        </w:rPr>
        <w:t>Alternatively, the UE is allowed to scale down the power of lower or equal priority transmissions</w:t>
      </w:r>
    </w:p>
    <w:p w14:paraId="5AF78D26" w14:textId="77777777" w:rsidR="003256F9" w:rsidRPr="003256F9" w:rsidRDefault="003256F9" w:rsidP="003256F9">
      <w:pPr>
        <w:pStyle w:val="ListParagraph"/>
        <w:numPr>
          <w:ilvl w:val="0"/>
          <w:numId w:val="27"/>
        </w:numPr>
        <w:ind w:left="1080"/>
        <w:rPr>
          <w:rFonts w:ascii="Times New Roman" w:hAnsi="Times New Roman"/>
          <w:b/>
          <w:i/>
          <w:sz w:val="20"/>
          <w:szCs w:val="20"/>
          <w:lang w:val="en-GB"/>
        </w:rPr>
      </w:pPr>
      <w:r w:rsidRPr="003256F9">
        <w:rPr>
          <w:rFonts w:ascii="Times New Roman" w:hAnsi="Times New Roman"/>
          <w:b/>
          <w:i/>
          <w:sz w:val="20"/>
          <w:szCs w:val="20"/>
          <w:lang w:val="en-GB"/>
        </w:rPr>
        <w:t>If the UE dropped any of the DMRS symbols, it is allowed to drop the full transmission of the channel</w:t>
      </w:r>
    </w:p>
    <w:p w14:paraId="14CE10EC" w14:textId="7A528C80" w:rsidR="003256F9" w:rsidRDefault="003256F9" w:rsidP="003256F9">
      <w:pPr>
        <w:rPr>
          <w:lang w:val="en-GB"/>
        </w:rPr>
      </w:pPr>
    </w:p>
    <w:p w14:paraId="43D7C157" w14:textId="77777777" w:rsidR="003256F9" w:rsidRPr="003256F9" w:rsidRDefault="003256F9" w:rsidP="003256F9">
      <w:pPr>
        <w:rPr>
          <w:lang w:val="en-GB"/>
        </w:rPr>
      </w:pPr>
    </w:p>
    <w:bookmarkEnd w:id="3"/>
    <w:bookmarkEnd w:id="4"/>
    <w:p w14:paraId="64099BEB" w14:textId="69A78F6C" w:rsidR="002F77EB" w:rsidRPr="00F0497A" w:rsidRDefault="00E523F3" w:rsidP="00F900DD">
      <w:pPr>
        <w:pStyle w:val="Heading1"/>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24FBD89B" w14:textId="37F3D943" w:rsidR="00F0497A" w:rsidRPr="00F0497A" w:rsidRDefault="00F0497A" w:rsidP="0083103E">
      <w:pPr>
        <w:pStyle w:val="ListParagraph"/>
        <w:numPr>
          <w:ilvl w:val="0"/>
          <w:numId w:val="2"/>
        </w:numPr>
        <w:jc w:val="both"/>
        <w:rPr>
          <w:rFonts w:ascii="Times New Roman" w:eastAsia="SimSun" w:hAnsi="Times New Roman"/>
          <w:sz w:val="20"/>
        </w:rPr>
      </w:pPr>
      <w:bookmarkStart w:id="10" w:name="_Ref481771738"/>
      <w:bookmarkStart w:id="11" w:name="_Ref461383190"/>
      <w:r>
        <w:rPr>
          <w:rFonts w:ascii="Times New Roman" w:eastAsia="SimSun" w:hAnsi="Times New Roman"/>
          <w:sz w:val="20"/>
        </w:rPr>
        <w:t xml:space="preserve">3GPP RAN1 </w:t>
      </w:r>
      <w:r w:rsidR="0083103E">
        <w:rPr>
          <w:rFonts w:ascii="Times New Roman" w:eastAsia="SimSun" w:hAnsi="Times New Roman"/>
          <w:sz w:val="20"/>
        </w:rPr>
        <w:t>88</w:t>
      </w:r>
      <w:r w:rsidR="000D6207">
        <w:rPr>
          <w:rFonts w:ascii="Times New Roman" w:eastAsia="SimSun" w:hAnsi="Times New Roman"/>
          <w:sz w:val="20"/>
        </w:rPr>
        <w:t>bis</w:t>
      </w:r>
      <w:r>
        <w:rPr>
          <w:rFonts w:ascii="Times New Roman" w:eastAsia="SimSun" w:hAnsi="Times New Roman"/>
          <w:sz w:val="20"/>
        </w:rPr>
        <w:t xml:space="preserve"> “RAN1 Chairman’s Notes”, </w:t>
      </w:r>
      <w:r w:rsidR="0083103E" w:rsidRPr="0083103E">
        <w:rPr>
          <w:rFonts w:ascii="Times New Roman" w:eastAsia="SimSun" w:hAnsi="Times New Roman"/>
          <w:sz w:val="20"/>
        </w:rPr>
        <w:t>Spokane, USA, 3rd – 7th April 2017</w:t>
      </w:r>
      <w:r w:rsidRPr="00F0497A">
        <w:rPr>
          <w:rFonts w:ascii="Times New Roman" w:eastAsia="SimSun" w:hAnsi="Times New Roman"/>
          <w:sz w:val="20"/>
        </w:rPr>
        <w:t>.</w:t>
      </w:r>
      <w:bookmarkEnd w:id="10"/>
    </w:p>
    <w:p w14:paraId="11683C9B" w14:textId="22715CC0" w:rsidR="00EE79A3" w:rsidRPr="00551691" w:rsidRDefault="003B3046" w:rsidP="00E706D6">
      <w:pPr>
        <w:pStyle w:val="References"/>
        <w:numPr>
          <w:ilvl w:val="0"/>
          <w:numId w:val="0"/>
        </w:numPr>
        <w:autoSpaceDE/>
        <w:autoSpaceDN/>
        <w:snapToGrid/>
        <w:spacing w:after="80" w:line="256" w:lineRule="auto"/>
        <w:ind w:left="567"/>
        <w:rPr>
          <w:szCs w:val="20"/>
          <w:lang w:val="en-GB"/>
        </w:rPr>
      </w:pPr>
      <w:bookmarkStart w:id="12" w:name="_Ref485247822"/>
      <w:bookmarkEnd w:id="11"/>
      <w:r w:rsidRPr="00197588">
        <w:rPr>
          <w:szCs w:val="20"/>
          <w:lang w:val="en-GB"/>
        </w:rPr>
        <w:t xml:space="preserve"> </w:t>
      </w:r>
      <w:bookmarkEnd w:id="7"/>
      <w:bookmarkEnd w:id="8"/>
      <w:bookmarkEnd w:id="9"/>
      <w:bookmarkEnd w:id="12"/>
    </w:p>
    <w:sectPr w:rsidR="00EE79A3" w:rsidRPr="00551691"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755B6" w14:textId="77777777" w:rsidR="00657FEE" w:rsidRDefault="00657FEE">
      <w:r>
        <w:separator/>
      </w:r>
    </w:p>
  </w:endnote>
  <w:endnote w:type="continuationSeparator" w:id="0">
    <w:p w14:paraId="09136B8A" w14:textId="77777777" w:rsidR="00657FEE" w:rsidRDefault="00657FEE">
      <w:r>
        <w:continuationSeparator/>
      </w:r>
    </w:p>
  </w:endnote>
  <w:endnote w:type="continuationNotice" w:id="1">
    <w:p w14:paraId="38EDAF8E" w14:textId="77777777" w:rsidR="00657FEE" w:rsidRDefault="00657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9011A" w:rsidRDefault="002901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9011A" w:rsidRDefault="002901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3A1E2C6" w:rsidR="0029011A" w:rsidRDefault="002901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57F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7FEE">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6BB77" w14:textId="77777777" w:rsidR="00657FEE" w:rsidRDefault="00657FEE">
      <w:r>
        <w:separator/>
      </w:r>
    </w:p>
  </w:footnote>
  <w:footnote w:type="continuationSeparator" w:id="0">
    <w:p w14:paraId="38EF030B" w14:textId="77777777" w:rsidR="00657FEE" w:rsidRDefault="00657FEE">
      <w:r>
        <w:continuationSeparator/>
      </w:r>
    </w:p>
  </w:footnote>
  <w:footnote w:type="continuationNotice" w:id="1">
    <w:p w14:paraId="79F23B04" w14:textId="77777777" w:rsidR="00657FEE" w:rsidRDefault="00657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9011A" w:rsidRDefault="002901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180616"/>
    <w:multiLevelType w:val="hybridMultilevel"/>
    <w:tmpl w:val="3C387B48"/>
    <w:lvl w:ilvl="0" w:tplc="04090001">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A0671"/>
    <w:multiLevelType w:val="hybridMultilevel"/>
    <w:tmpl w:val="C040FE9A"/>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A293D"/>
    <w:multiLevelType w:val="hybridMultilevel"/>
    <w:tmpl w:val="5AD8AE66"/>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16F6C"/>
    <w:multiLevelType w:val="hybridMultilevel"/>
    <w:tmpl w:val="7D0EECE8"/>
    <w:lvl w:ilvl="0" w:tplc="4BEADC46">
      <w:start w:val="1"/>
      <w:numFmt w:val="bullet"/>
      <w:lvlText w:val=""/>
      <w:lvlJc w:val="left"/>
      <w:pPr>
        <w:tabs>
          <w:tab w:val="num" w:pos="720"/>
        </w:tabs>
        <w:ind w:left="720" w:hanging="360"/>
      </w:pPr>
      <w:rPr>
        <w:rFonts w:ascii="Symbol" w:hAnsi="Symbol" w:hint="default"/>
      </w:rPr>
    </w:lvl>
    <w:lvl w:ilvl="1" w:tplc="127EDD46">
      <w:numFmt w:val="bullet"/>
      <w:lvlText w:val="−"/>
      <w:lvlJc w:val="left"/>
      <w:pPr>
        <w:tabs>
          <w:tab w:val="num" w:pos="1440"/>
        </w:tabs>
        <w:ind w:left="1440" w:hanging="360"/>
      </w:pPr>
      <w:rPr>
        <w:rFonts w:ascii="Calibre Regular" w:hAnsi="Calibre Regular" w:hint="default"/>
      </w:rPr>
    </w:lvl>
    <w:lvl w:ilvl="2" w:tplc="799E0332">
      <w:start w:val="1"/>
      <w:numFmt w:val="bullet"/>
      <w:lvlText w:val=""/>
      <w:lvlJc w:val="left"/>
      <w:pPr>
        <w:tabs>
          <w:tab w:val="num" w:pos="2160"/>
        </w:tabs>
        <w:ind w:left="2160" w:hanging="360"/>
      </w:pPr>
      <w:rPr>
        <w:rFonts w:ascii="Symbol" w:hAnsi="Symbol" w:hint="default"/>
      </w:rPr>
    </w:lvl>
    <w:lvl w:ilvl="3" w:tplc="0DC6C566" w:tentative="1">
      <w:start w:val="1"/>
      <w:numFmt w:val="bullet"/>
      <w:lvlText w:val=""/>
      <w:lvlJc w:val="left"/>
      <w:pPr>
        <w:tabs>
          <w:tab w:val="num" w:pos="2880"/>
        </w:tabs>
        <w:ind w:left="2880" w:hanging="360"/>
      </w:pPr>
      <w:rPr>
        <w:rFonts w:ascii="Symbol" w:hAnsi="Symbol" w:hint="default"/>
      </w:rPr>
    </w:lvl>
    <w:lvl w:ilvl="4" w:tplc="542C8FD8" w:tentative="1">
      <w:start w:val="1"/>
      <w:numFmt w:val="bullet"/>
      <w:lvlText w:val=""/>
      <w:lvlJc w:val="left"/>
      <w:pPr>
        <w:tabs>
          <w:tab w:val="num" w:pos="3600"/>
        </w:tabs>
        <w:ind w:left="3600" w:hanging="360"/>
      </w:pPr>
      <w:rPr>
        <w:rFonts w:ascii="Symbol" w:hAnsi="Symbol" w:hint="default"/>
      </w:rPr>
    </w:lvl>
    <w:lvl w:ilvl="5" w:tplc="F2A2CD78" w:tentative="1">
      <w:start w:val="1"/>
      <w:numFmt w:val="bullet"/>
      <w:lvlText w:val=""/>
      <w:lvlJc w:val="left"/>
      <w:pPr>
        <w:tabs>
          <w:tab w:val="num" w:pos="4320"/>
        </w:tabs>
        <w:ind w:left="4320" w:hanging="360"/>
      </w:pPr>
      <w:rPr>
        <w:rFonts w:ascii="Symbol" w:hAnsi="Symbol" w:hint="default"/>
      </w:rPr>
    </w:lvl>
    <w:lvl w:ilvl="6" w:tplc="1F10FA7E" w:tentative="1">
      <w:start w:val="1"/>
      <w:numFmt w:val="bullet"/>
      <w:lvlText w:val=""/>
      <w:lvlJc w:val="left"/>
      <w:pPr>
        <w:tabs>
          <w:tab w:val="num" w:pos="5040"/>
        </w:tabs>
        <w:ind w:left="5040" w:hanging="360"/>
      </w:pPr>
      <w:rPr>
        <w:rFonts w:ascii="Symbol" w:hAnsi="Symbol" w:hint="default"/>
      </w:rPr>
    </w:lvl>
    <w:lvl w:ilvl="7" w:tplc="4D008E92" w:tentative="1">
      <w:start w:val="1"/>
      <w:numFmt w:val="bullet"/>
      <w:lvlText w:val=""/>
      <w:lvlJc w:val="left"/>
      <w:pPr>
        <w:tabs>
          <w:tab w:val="num" w:pos="5760"/>
        </w:tabs>
        <w:ind w:left="5760" w:hanging="360"/>
      </w:pPr>
      <w:rPr>
        <w:rFonts w:ascii="Symbol" w:hAnsi="Symbol" w:hint="default"/>
      </w:rPr>
    </w:lvl>
    <w:lvl w:ilvl="8" w:tplc="E98096E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2E3C4E"/>
    <w:multiLevelType w:val="hybridMultilevel"/>
    <w:tmpl w:val="70B2EC18"/>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24946CCD"/>
    <w:multiLevelType w:val="hybridMultilevel"/>
    <w:tmpl w:val="83C23B98"/>
    <w:lvl w:ilvl="0" w:tplc="04090001">
      <w:start w:val="1"/>
      <w:numFmt w:val="bullet"/>
      <w:lvlText w:val=""/>
      <w:lvlJc w:val="left"/>
      <w:pPr>
        <w:ind w:left="1224" w:hanging="360"/>
      </w:pPr>
      <w:rPr>
        <w:rFonts w:ascii="Symbol" w:hAnsi="Symbo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29956F58"/>
    <w:multiLevelType w:val="hybridMultilevel"/>
    <w:tmpl w:val="B4662320"/>
    <w:lvl w:ilvl="0" w:tplc="7BA6FCA0">
      <w:start w:val="1354"/>
      <w:numFmt w:val="bullet"/>
      <w:lvlText w:val="−"/>
      <w:lvlJc w:val="left"/>
      <w:pPr>
        <w:ind w:left="936" w:hanging="360"/>
      </w:pPr>
      <w:rPr>
        <w:rFonts w:ascii="Calibri" w:hAnsi="Calibri" w:hint="default"/>
        <w:color w:val="000000" w:themeColor="text1"/>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07380E"/>
    <w:multiLevelType w:val="hybridMultilevel"/>
    <w:tmpl w:val="6E18F78A"/>
    <w:lvl w:ilvl="0" w:tplc="0C8E0718">
      <w:start w:val="1"/>
      <w:numFmt w:val="bullet"/>
      <w:lvlText w:val="•"/>
      <w:lvlJc w:val="left"/>
      <w:pPr>
        <w:ind w:left="720"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023C9"/>
    <w:multiLevelType w:val="hybridMultilevel"/>
    <w:tmpl w:val="97007270"/>
    <w:lvl w:ilvl="0" w:tplc="04090003">
      <w:start w:val="1"/>
      <w:numFmt w:val="bullet"/>
      <w:lvlText w:val="o"/>
      <w:lvlJc w:val="left"/>
      <w:pPr>
        <w:ind w:left="1224" w:hanging="360"/>
      </w:pPr>
      <w:rPr>
        <w:rFonts w:ascii="Courier New" w:hAnsi="Courier New" w:cs="Courier New"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37C55082"/>
    <w:multiLevelType w:val="hybridMultilevel"/>
    <w:tmpl w:val="84DEC4A0"/>
    <w:lvl w:ilvl="0" w:tplc="920C7F54">
      <w:numFmt w:val="bullet"/>
      <w:lvlText w:val="-"/>
      <w:lvlJc w:val="left"/>
      <w:pPr>
        <w:ind w:left="936" w:hanging="360"/>
      </w:pPr>
      <w:rPr>
        <w:rFonts w:ascii="Times" w:hAnsi="Times" w:hint="default"/>
        <w:color w:val="000000" w:themeColor="text1"/>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5C731D"/>
    <w:multiLevelType w:val="hybridMultilevel"/>
    <w:tmpl w:val="F394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42362"/>
    <w:multiLevelType w:val="hybridMultilevel"/>
    <w:tmpl w:val="277AD886"/>
    <w:lvl w:ilvl="0" w:tplc="0C8E0718">
      <w:start w:val="1"/>
      <w:numFmt w:val="bullet"/>
      <w:lvlText w:val="•"/>
      <w:lvlJc w:val="left"/>
      <w:pPr>
        <w:ind w:left="1224" w:hanging="360"/>
      </w:pPr>
      <w:rPr>
        <w:rFonts w:ascii="Arial" w:hAnsi="Aria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A5E26"/>
    <w:multiLevelType w:val="hybridMultilevel"/>
    <w:tmpl w:val="9316165E"/>
    <w:lvl w:ilvl="0" w:tplc="04090003">
      <w:start w:val="1"/>
      <w:numFmt w:val="bullet"/>
      <w:lvlText w:val="o"/>
      <w:lvlJc w:val="left"/>
      <w:pPr>
        <w:ind w:left="1224" w:hanging="360"/>
      </w:pPr>
      <w:rPr>
        <w:rFonts w:ascii="Courier New" w:hAnsi="Courier New" w:cs="Courier New" w:hint="default"/>
        <w:color w:val="000000" w:themeColor="text1"/>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1" w15:restartNumberingAfterBreak="0">
    <w:nsid w:val="60B128C1"/>
    <w:multiLevelType w:val="hybridMultilevel"/>
    <w:tmpl w:val="835AA7CE"/>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A4933CD"/>
    <w:multiLevelType w:val="hybridMultilevel"/>
    <w:tmpl w:val="D880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5D4327"/>
    <w:multiLevelType w:val="hybridMultilevel"/>
    <w:tmpl w:val="05C6FF46"/>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A049E"/>
    <w:multiLevelType w:val="hybridMultilevel"/>
    <w:tmpl w:val="86001006"/>
    <w:lvl w:ilvl="0" w:tplc="04090001">
      <w:start w:val="1"/>
      <w:numFmt w:val="bullet"/>
      <w:lvlText w:val=""/>
      <w:lvlJc w:val="left"/>
      <w:pPr>
        <w:ind w:left="1008" w:hanging="360"/>
      </w:pPr>
      <w:rPr>
        <w:rFonts w:ascii="Symbol" w:hAnsi="Symbol" w:hint="default"/>
      </w:rPr>
    </w:lvl>
    <w:lvl w:ilvl="1" w:tplc="7BA6FCA0">
      <w:start w:val="1354"/>
      <w:numFmt w:val="bullet"/>
      <w:lvlText w:val="−"/>
      <w:lvlJc w:val="left"/>
      <w:pPr>
        <w:ind w:left="1728" w:hanging="360"/>
      </w:pPr>
      <w:rPr>
        <w:rFonts w:ascii="Calibri" w:hAnsi="Calibri"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7CCA259F"/>
    <w:multiLevelType w:val="hybridMultilevel"/>
    <w:tmpl w:val="6A40A75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1"/>
  </w:num>
  <w:num w:numId="2">
    <w:abstractNumId w:val="0"/>
  </w:num>
  <w:num w:numId="3">
    <w:abstractNumId w:val="1"/>
  </w:num>
  <w:num w:numId="4">
    <w:abstractNumId w:val="16"/>
  </w:num>
  <w:num w:numId="5">
    <w:abstractNumId w:val="12"/>
  </w:num>
  <w:num w:numId="6">
    <w:abstractNumId w:val="19"/>
  </w:num>
  <w:num w:numId="7">
    <w:abstractNumId w:val="23"/>
  </w:num>
  <w:num w:numId="8">
    <w:abstractNumId w:val="26"/>
  </w:num>
  <w:num w:numId="9">
    <w:abstractNumId w:val="7"/>
  </w:num>
  <w:num w:numId="10">
    <w:abstractNumId w:val="17"/>
  </w:num>
  <w:num w:numId="11">
    <w:abstractNumId w:val="22"/>
  </w:num>
  <w:num w:numId="12">
    <w:abstractNumId w:val="21"/>
  </w:num>
  <w:num w:numId="13">
    <w:abstractNumId w:val="25"/>
  </w:num>
  <w:num w:numId="14">
    <w:abstractNumId w:val="6"/>
  </w:num>
  <w:num w:numId="15">
    <w:abstractNumId w:val="10"/>
  </w:num>
  <w:num w:numId="16">
    <w:abstractNumId w:val="20"/>
  </w:num>
  <w:num w:numId="17">
    <w:abstractNumId w:val="5"/>
  </w:num>
  <w:num w:numId="18">
    <w:abstractNumId w:val="14"/>
  </w:num>
  <w:num w:numId="19">
    <w:abstractNumId w:val="18"/>
  </w:num>
  <w:num w:numId="20">
    <w:abstractNumId w:val="9"/>
  </w:num>
  <w:num w:numId="21">
    <w:abstractNumId w:val="8"/>
  </w:num>
  <w:num w:numId="22">
    <w:abstractNumId w:val="24"/>
  </w:num>
  <w:num w:numId="23">
    <w:abstractNumId w:val="13"/>
  </w:num>
  <w:num w:numId="24">
    <w:abstractNumId w:val="2"/>
  </w:num>
  <w:num w:numId="25">
    <w:abstractNumId w:val="3"/>
  </w:num>
  <w:num w:numId="26">
    <w:abstractNumId w:val="4"/>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573"/>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321"/>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7EE"/>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57"/>
    <w:rsid w:val="002654D9"/>
    <w:rsid w:val="00265701"/>
    <w:rsid w:val="00265CB1"/>
    <w:rsid w:val="00265E9A"/>
    <w:rsid w:val="0026604D"/>
    <w:rsid w:val="00266111"/>
    <w:rsid w:val="00266210"/>
    <w:rsid w:val="002664FA"/>
    <w:rsid w:val="00266867"/>
    <w:rsid w:val="0026716C"/>
    <w:rsid w:val="00270360"/>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5BF"/>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2CE"/>
    <w:rsid w:val="0032556B"/>
    <w:rsid w:val="003256F9"/>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947"/>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19F9"/>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35B"/>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8C6"/>
    <w:rsid w:val="00470095"/>
    <w:rsid w:val="0047041E"/>
    <w:rsid w:val="00470628"/>
    <w:rsid w:val="00470750"/>
    <w:rsid w:val="00470893"/>
    <w:rsid w:val="0047166D"/>
    <w:rsid w:val="00471856"/>
    <w:rsid w:val="00471DB0"/>
    <w:rsid w:val="00471FAB"/>
    <w:rsid w:val="004720F3"/>
    <w:rsid w:val="0047253B"/>
    <w:rsid w:val="00472ACB"/>
    <w:rsid w:val="00472B80"/>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2B9"/>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9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942"/>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31"/>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6A9"/>
    <w:rsid w:val="00520AE3"/>
    <w:rsid w:val="00521294"/>
    <w:rsid w:val="00521D24"/>
    <w:rsid w:val="00521D65"/>
    <w:rsid w:val="005221A4"/>
    <w:rsid w:val="00522D49"/>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7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90"/>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B50"/>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A83"/>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57FEE"/>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0C3E"/>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90D"/>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3E"/>
    <w:rsid w:val="0083179C"/>
    <w:rsid w:val="00832142"/>
    <w:rsid w:val="00832C18"/>
    <w:rsid w:val="00832CAF"/>
    <w:rsid w:val="0083311A"/>
    <w:rsid w:val="00833760"/>
    <w:rsid w:val="0083417A"/>
    <w:rsid w:val="00834512"/>
    <w:rsid w:val="008349E7"/>
    <w:rsid w:val="0083502E"/>
    <w:rsid w:val="008350E9"/>
    <w:rsid w:val="00835B82"/>
    <w:rsid w:val="00835F1B"/>
    <w:rsid w:val="00836133"/>
    <w:rsid w:val="0083657B"/>
    <w:rsid w:val="00836B5B"/>
    <w:rsid w:val="00837452"/>
    <w:rsid w:val="0083768C"/>
    <w:rsid w:val="00837797"/>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29F"/>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57D"/>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C7"/>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AD2"/>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7D9"/>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EA4"/>
    <w:rsid w:val="00AB3F13"/>
    <w:rsid w:val="00AB4157"/>
    <w:rsid w:val="00AB42FF"/>
    <w:rsid w:val="00AB4300"/>
    <w:rsid w:val="00AB513E"/>
    <w:rsid w:val="00AB51DA"/>
    <w:rsid w:val="00AB53BA"/>
    <w:rsid w:val="00AB57AD"/>
    <w:rsid w:val="00AB583A"/>
    <w:rsid w:val="00AB642C"/>
    <w:rsid w:val="00AB644A"/>
    <w:rsid w:val="00AB6458"/>
    <w:rsid w:val="00AB6CA0"/>
    <w:rsid w:val="00AB6ED4"/>
    <w:rsid w:val="00AB7551"/>
    <w:rsid w:val="00AB76D5"/>
    <w:rsid w:val="00AB7787"/>
    <w:rsid w:val="00AB78AC"/>
    <w:rsid w:val="00AB7913"/>
    <w:rsid w:val="00AC0169"/>
    <w:rsid w:val="00AC028F"/>
    <w:rsid w:val="00AC0746"/>
    <w:rsid w:val="00AC08C8"/>
    <w:rsid w:val="00AC0CC3"/>
    <w:rsid w:val="00AC1281"/>
    <w:rsid w:val="00AC16EB"/>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841"/>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617"/>
    <w:rsid w:val="00AF0FFE"/>
    <w:rsid w:val="00AF1414"/>
    <w:rsid w:val="00AF15C3"/>
    <w:rsid w:val="00AF19CD"/>
    <w:rsid w:val="00AF25F3"/>
    <w:rsid w:val="00AF28B0"/>
    <w:rsid w:val="00AF2DED"/>
    <w:rsid w:val="00AF3560"/>
    <w:rsid w:val="00AF3C80"/>
    <w:rsid w:val="00AF3C8C"/>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E7E4B"/>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7A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B39"/>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2CC"/>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0C2"/>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6F1"/>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8A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AD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95"/>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A41"/>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33760"/>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833760"/>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579844">
      <w:bodyDiv w:val="1"/>
      <w:marLeft w:val="0"/>
      <w:marRight w:val="0"/>
      <w:marTop w:val="0"/>
      <w:marBottom w:val="0"/>
      <w:divBdr>
        <w:top w:val="none" w:sz="0" w:space="0" w:color="auto"/>
        <w:left w:val="none" w:sz="0" w:space="0" w:color="auto"/>
        <w:bottom w:val="none" w:sz="0" w:space="0" w:color="auto"/>
        <w:right w:val="none" w:sz="0" w:space="0" w:color="auto"/>
      </w:divBdr>
      <w:divsChild>
        <w:div w:id="1032998316">
          <w:marLeft w:val="403"/>
          <w:marRight w:val="0"/>
          <w:marTop w:val="115"/>
          <w:marBottom w:val="0"/>
          <w:divBdr>
            <w:top w:val="none" w:sz="0" w:space="0" w:color="auto"/>
            <w:left w:val="none" w:sz="0" w:space="0" w:color="auto"/>
            <w:bottom w:val="none" w:sz="0" w:space="0" w:color="auto"/>
            <w:right w:val="none" w:sz="0" w:space="0" w:color="auto"/>
          </w:divBdr>
        </w:div>
        <w:div w:id="351340377">
          <w:marLeft w:val="878"/>
          <w:marRight w:val="0"/>
          <w:marTop w:val="96"/>
          <w:marBottom w:val="0"/>
          <w:divBdr>
            <w:top w:val="none" w:sz="0" w:space="0" w:color="auto"/>
            <w:left w:val="none" w:sz="0" w:space="0" w:color="auto"/>
            <w:bottom w:val="none" w:sz="0" w:space="0" w:color="auto"/>
            <w:right w:val="none" w:sz="0" w:space="0" w:color="auto"/>
          </w:divBdr>
        </w:div>
        <w:div w:id="1234314781">
          <w:marLeft w:val="878"/>
          <w:marRight w:val="0"/>
          <w:marTop w:val="96"/>
          <w:marBottom w:val="0"/>
          <w:divBdr>
            <w:top w:val="none" w:sz="0" w:space="0" w:color="auto"/>
            <w:left w:val="none" w:sz="0" w:space="0" w:color="auto"/>
            <w:bottom w:val="none" w:sz="0" w:space="0" w:color="auto"/>
            <w:right w:val="none" w:sz="0" w:space="0" w:color="auto"/>
          </w:divBdr>
        </w:div>
        <w:div w:id="209343681">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2272487">
      <w:bodyDiv w:val="1"/>
      <w:marLeft w:val="0"/>
      <w:marRight w:val="0"/>
      <w:marTop w:val="0"/>
      <w:marBottom w:val="0"/>
      <w:divBdr>
        <w:top w:val="none" w:sz="0" w:space="0" w:color="auto"/>
        <w:left w:val="none" w:sz="0" w:space="0" w:color="auto"/>
        <w:bottom w:val="none" w:sz="0" w:space="0" w:color="auto"/>
        <w:right w:val="none" w:sz="0" w:space="0" w:color="auto"/>
      </w:divBdr>
      <w:divsChild>
        <w:div w:id="371542974">
          <w:marLeft w:val="403"/>
          <w:marRight w:val="0"/>
          <w:marTop w:val="115"/>
          <w:marBottom w:val="0"/>
          <w:divBdr>
            <w:top w:val="none" w:sz="0" w:space="0" w:color="auto"/>
            <w:left w:val="none" w:sz="0" w:space="0" w:color="auto"/>
            <w:bottom w:val="none" w:sz="0" w:space="0" w:color="auto"/>
            <w:right w:val="none" w:sz="0" w:space="0" w:color="auto"/>
          </w:divBdr>
        </w:div>
        <w:div w:id="1901162338">
          <w:marLeft w:val="878"/>
          <w:marRight w:val="0"/>
          <w:marTop w:val="96"/>
          <w:marBottom w:val="0"/>
          <w:divBdr>
            <w:top w:val="none" w:sz="0" w:space="0" w:color="auto"/>
            <w:left w:val="none" w:sz="0" w:space="0" w:color="auto"/>
            <w:bottom w:val="none" w:sz="0" w:space="0" w:color="auto"/>
            <w:right w:val="none" w:sz="0" w:space="0" w:color="auto"/>
          </w:divBdr>
        </w:div>
        <w:div w:id="1361396435">
          <w:marLeft w:val="878"/>
          <w:marRight w:val="0"/>
          <w:marTop w:val="96"/>
          <w:marBottom w:val="0"/>
          <w:divBdr>
            <w:top w:val="none" w:sz="0" w:space="0" w:color="auto"/>
            <w:left w:val="none" w:sz="0" w:space="0" w:color="auto"/>
            <w:bottom w:val="none" w:sz="0" w:space="0" w:color="auto"/>
            <w:right w:val="none" w:sz="0" w:space="0" w:color="auto"/>
          </w:divBdr>
        </w:div>
        <w:div w:id="2045403525">
          <w:marLeft w:val="878"/>
          <w:marRight w:val="0"/>
          <w:marTop w:val="96"/>
          <w:marBottom w:val="0"/>
          <w:divBdr>
            <w:top w:val="none" w:sz="0" w:space="0" w:color="auto"/>
            <w:left w:val="none" w:sz="0" w:space="0" w:color="auto"/>
            <w:bottom w:val="none" w:sz="0" w:space="0" w:color="auto"/>
            <w:right w:val="none" w:sz="0" w:space="0" w:color="auto"/>
          </w:divBdr>
        </w:div>
        <w:div w:id="936062184">
          <w:marLeft w:val="403"/>
          <w:marRight w:val="0"/>
          <w:marTop w:val="115"/>
          <w:marBottom w:val="0"/>
          <w:divBdr>
            <w:top w:val="none" w:sz="0" w:space="0" w:color="auto"/>
            <w:left w:val="none" w:sz="0" w:space="0" w:color="auto"/>
            <w:bottom w:val="none" w:sz="0" w:space="0" w:color="auto"/>
            <w:right w:val="none" w:sz="0" w:space="0" w:color="auto"/>
          </w:divBdr>
        </w:div>
        <w:div w:id="2126920999">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69303">
      <w:bodyDiv w:val="1"/>
      <w:marLeft w:val="0"/>
      <w:marRight w:val="0"/>
      <w:marTop w:val="0"/>
      <w:marBottom w:val="0"/>
      <w:divBdr>
        <w:top w:val="none" w:sz="0" w:space="0" w:color="auto"/>
        <w:left w:val="none" w:sz="0" w:space="0" w:color="auto"/>
        <w:bottom w:val="none" w:sz="0" w:space="0" w:color="auto"/>
        <w:right w:val="none" w:sz="0" w:space="0" w:color="auto"/>
      </w:divBdr>
      <w:divsChild>
        <w:div w:id="44448216">
          <w:marLeft w:val="403"/>
          <w:marRight w:val="0"/>
          <w:marTop w:val="115"/>
          <w:marBottom w:val="0"/>
          <w:divBdr>
            <w:top w:val="none" w:sz="0" w:space="0" w:color="auto"/>
            <w:left w:val="none" w:sz="0" w:space="0" w:color="auto"/>
            <w:bottom w:val="none" w:sz="0" w:space="0" w:color="auto"/>
            <w:right w:val="none" w:sz="0" w:space="0" w:color="auto"/>
          </w:divBdr>
        </w:div>
        <w:div w:id="1707952397">
          <w:marLeft w:val="878"/>
          <w:marRight w:val="0"/>
          <w:marTop w:val="96"/>
          <w:marBottom w:val="0"/>
          <w:divBdr>
            <w:top w:val="none" w:sz="0" w:space="0" w:color="auto"/>
            <w:left w:val="none" w:sz="0" w:space="0" w:color="auto"/>
            <w:bottom w:val="none" w:sz="0" w:space="0" w:color="auto"/>
            <w:right w:val="none" w:sz="0" w:space="0" w:color="auto"/>
          </w:divBdr>
        </w:div>
        <w:div w:id="2016574328">
          <w:marLeft w:val="878"/>
          <w:marRight w:val="0"/>
          <w:marTop w:val="96"/>
          <w:marBottom w:val="0"/>
          <w:divBdr>
            <w:top w:val="none" w:sz="0" w:space="0" w:color="auto"/>
            <w:left w:val="none" w:sz="0" w:space="0" w:color="auto"/>
            <w:bottom w:val="none" w:sz="0" w:space="0" w:color="auto"/>
            <w:right w:val="none" w:sz="0" w:space="0" w:color="auto"/>
          </w:divBdr>
        </w:div>
        <w:div w:id="1436368559">
          <w:marLeft w:val="878"/>
          <w:marRight w:val="0"/>
          <w:marTop w:val="9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BAF9F4-2BA9-440C-A964-EDE27907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WG1 #84</vt:lpstr>
      <vt:lpstr>Introduction</vt:lpstr>
      <vt:lpstr>Transmitter architecture and limitations</vt:lpstr>
      <vt:lpstr>Power control mechanisms</vt:lpstr>
      <vt:lpstr>    Power control without lookahead</vt:lpstr>
      <vt:lpstr>    Power control with lookahead</vt:lpstr>
      <vt:lpstr>    Power control with multiple TAGs</vt:lpstr>
      <vt:lpstr>Conclusions</vt:lpstr>
      <vt:lpstr>References	</vt:lpstr>
    </vt:vector>
  </TitlesOfParts>
  <Company>Qualcomm Inc.</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2017-11-18T02:11:00Z</dcterms:created>
  <dcterms:modified xsi:type="dcterms:W3CDTF">2017-11-18T02:11:00Z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